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51AB2" w:rsidRDefault="00D35D23">
      <w:pPr>
        <w:pStyle w:val="BodyText"/>
        <w:ind w:left="7681"/>
        <w:rPr>
          <w:rFonts w:ascii="Times New Roman"/>
          <w:sz w:val="20"/>
        </w:rPr>
      </w:pPr>
      <w:r>
        <w:rPr>
          <w:rFonts w:ascii="Times New Roman"/>
          <w:noProof/>
          <w:color w:val="2B579A"/>
          <w:sz w:val="20"/>
          <w:shd w:val="clear" w:color="auto" w:fill="E6E6E6"/>
        </w:rPr>
        <w:drawing>
          <wp:inline distT="0" distB="0" distL="0" distR="0" wp14:anchorId="364AC891" wp14:editId="07777777">
            <wp:extent cx="840322" cy="11155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322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F51AB2" w:rsidRDefault="00F51AB2">
      <w:pPr>
        <w:pStyle w:val="BodyText"/>
        <w:rPr>
          <w:rFonts w:ascii="Times New Roman"/>
          <w:sz w:val="20"/>
        </w:rPr>
      </w:pPr>
    </w:p>
    <w:p w14:paraId="7149FFFE" w14:textId="77777777" w:rsidR="00F51AB2" w:rsidRDefault="00D35D23">
      <w:pPr>
        <w:pStyle w:val="Heading1"/>
        <w:tabs>
          <w:tab w:val="left" w:pos="2891"/>
        </w:tabs>
        <w:spacing w:before="209"/>
        <w:ind w:left="320"/>
      </w:pPr>
      <w:r>
        <w:t>To:</w:t>
      </w:r>
      <w:r>
        <w:tab/>
        <w:t>Shareholder and Joint Venture</w:t>
      </w:r>
      <w:r>
        <w:rPr>
          <w:spacing w:val="-17"/>
        </w:rPr>
        <w:t xml:space="preserve"> </w:t>
      </w:r>
      <w:r>
        <w:t>Group</w:t>
      </w:r>
    </w:p>
    <w:p w14:paraId="20CEA3A2" w14:textId="141248CF" w:rsidR="00F51AB2" w:rsidRDefault="3093337E" w:rsidP="3093337E">
      <w:pPr>
        <w:tabs>
          <w:tab w:val="left" w:pos="2891"/>
        </w:tabs>
        <w:spacing w:before="109"/>
        <w:ind w:left="320"/>
        <w:rPr>
          <w:b/>
          <w:bCs/>
          <w:sz w:val="24"/>
          <w:szCs w:val="24"/>
        </w:rPr>
      </w:pPr>
      <w:r w:rsidRPr="3093337E">
        <w:rPr>
          <w:b/>
          <w:bCs/>
          <w:sz w:val="24"/>
          <w:szCs w:val="24"/>
        </w:rPr>
        <w:t>Date:</w:t>
      </w:r>
      <w:r w:rsidR="00D35D23">
        <w:rPr>
          <w:b/>
          <w:sz w:val="24"/>
        </w:rPr>
        <w:tab/>
      </w:r>
      <w:r w:rsidRPr="3093337E">
        <w:rPr>
          <w:b/>
          <w:bCs/>
          <w:sz w:val="24"/>
          <w:szCs w:val="24"/>
        </w:rPr>
        <w:t>27</w:t>
      </w:r>
      <w:r w:rsidRPr="3093337E">
        <w:rPr>
          <w:b/>
          <w:bCs/>
          <w:sz w:val="24"/>
          <w:szCs w:val="24"/>
          <w:vertAlign w:val="superscript"/>
        </w:rPr>
        <w:t>th</w:t>
      </w:r>
      <w:r w:rsidRPr="3093337E">
        <w:rPr>
          <w:b/>
          <w:bCs/>
          <w:sz w:val="24"/>
          <w:szCs w:val="24"/>
        </w:rPr>
        <w:t xml:space="preserve"> March 2024</w:t>
      </w:r>
    </w:p>
    <w:p w14:paraId="4D1A4792" w14:textId="26AD9003" w:rsidR="00F51AB2" w:rsidRDefault="3093337E" w:rsidP="3093337E">
      <w:pPr>
        <w:tabs>
          <w:tab w:val="left" w:pos="2891"/>
        </w:tabs>
        <w:spacing w:before="114"/>
        <w:ind w:left="320"/>
        <w:rPr>
          <w:b/>
          <w:bCs/>
          <w:sz w:val="24"/>
          <w:szCs w:val="24"/>
        </w:rPr>
      </w:pPr>
      <w:r w:rsidRPr="3093337E">
        <w:rPr>
          <w:b/>
          <w:bCs/>
          <w:sz w:val="24"/>
          <w:szCs w:val="24"/>
        </w:rPr>
        <w:t>Report</w:t>
      </w:r>
      <w:r w:rsidRPr="3093337E">
        <w:rPr>
          <w:b/>
          <w:bCs/>
          <w:spacing w:val="-3"/>
          <w:sz w:val="24"/>
          <w:szCs w:val="24"/>
        </w:rPr>
        <w:t xml:space="preserve"> </w:t>
      </w:r>
      <w:r w:rsidRPr="3093337E">
        <w:rPr>
          <w:b/>
          <w:bCs/>
          <w:sz w:val="24"/>
          <w:szCs w:val="24"/>
        </w:rPr>
        <w:t>of:</w:t>
      </w:r>
      <w:r w:rsidR="00D35D23">
        <w:rPr>
          <w:b/>
          <w:sz w:val="24"/>
        </w:rPr>
        <w:tab/>
      </w:r>
      <w:r w:rsidRPr="3B7B2F66">
        <w:rPr>
          <w:b/>
          <w:bCs/>
          <w:sz w:val="24"/>
          <w:szCs w:val="24"/>
        </w:rPr>
        <w:t xml:space="preserve">Jane Winfield, Head of Corporate Property  </w:t>
      </w:r>
    </w:p>
    <w:p w14:paraId="5DAB6C7B" w14:textId="77777777" w:rsidR="00F51AB2" w:rsidRDefault="00F51AB2">
      <w:pPr>
        <w:rPr>
          <w:sz w:val="24"/>
        </w:rPr>
        <w:sectPr w:rsidR="00F51AB2">
          <w:type w:val="continuous"/>
          <w:pgSz w:w="11910" w:h="16840"/>
          <w:pgMar w:top="860" w:right="860" w:bottom="280" w:left="1200" w:header="720" w:footer="720" w:gutter="0"/>
          <w:cols w:space="720"/>
        </w:sectPr>
      </w:pPr>
    </w:p>
    <w:p w14:paraId="00719D1C" w14:textId="77777777" w:rsidR="00F51AB2" w:rsidRDefault="00D35D23">
      <w:pPr>
        <w:spacing w:before="119" w:line="270" w:lineRule="exact"/>
        <w:ind w:left="320" w:right="-19"/>
        <w:rPr>
          <w:b/>
          <w:sz w:val="24"/>
        </w:rPr>
      </w:pPr>
      <w:r>
        <w:rPr>
          <w:b/>
          <w:sz w:val="24"/>
        </w:rPr>
        <w:t>Title of Report:</w:t>
      </w:r>
    </w:p>
    <w:p w14:paraId="5A36DF9D" w14:textId="77777777" w:rsidR="00F51AB2" w:rsidRDefault="00D35D23">
      <w:pPr>
        <w:spacing w:before="119" w:line="270" w:lineRule="exact"/>
        <w:ind w:left="320" w:right="1858"/>
        <w:rPr>
          <w:b/>
          <w:sz w:val="24"/>
        </w:rPr>
      </w:pPr>
      <w:r>
        <w:br w:type="column"/>
      </w:r>
      <w:r>
        <w:rPr>
          <w:b/>
          <w:sz w:val="24"/>
        </w:rPr>
        <w:t>Quarterly Progress Report relating to Barton Oxford LLP</w:t>
      </w:r>
    </w:p>
    <w:p w14:paraId="02EB378F" w14:textId="77777777" w:rsidR="00F51AB2" w:rsidRDefault="00F51AB2">
      <w:pPr>
        <w:spacing w:line="270" w:lineRule="exact"/>
        <w:rPr>
          <w:sz w:val="24"/>
        </w:rPr>
        <w:sectPr w:rsidR="00F51AB2">
          <w:type w:val="continuous"/>
          <w:pgSz w:w="11910" w:h="16840"/>
          <w:pgMar w:top="860" w:right="860" w:bottom="280" w:left="1200" w:header="720" w:footer="720" w:gutter="0"/>
          <w:cols w:num="2" w:space="720" w:equalWidth="0">
            <w:col w:w="1175" w:space="1396"/>
            <w:col w:w="7279"/>
          </w:cols>
        </w:sectPr>
      </w:pPr>
    </w:p>
    <w:p w14:paraId="6A05A809" w14:textId="77777777" w:rsidR="00F51AB2" w:rsidRDefault="00F51AB2">
      <w:pPr>
        <w:pStyle w:val="BodyText"/>
        <w:spacing w:before="8"/>
        <w:rPr>
          <w:b/>
          <w:sz w:val="22"/>
        </w:rPr>
      </w:pPr>
    </w:p>
    <w:tbl>
      <w:tblPr>
        <w:tblW w:w="0" w:type="auto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7"/>
        <w:gridCol w:w="7142"/>
      </w:tblGrid>
      <w:tr w:rsidR="00F51AB2" w14:paraId="52694351" w14:textId="77777777" w:rsidTr="3B7B2F66">
        <w:trPr>
          <w:trHeight w:hRule="exact" w:val="465"/>
        </w:trPr>
        <w:tc>
          <w:tcPr>
            <w:tcW w:w="9469" w:type="dxa"/>
            <w:gridSpan w:val="2"/>
          </w:tcPr>
          <w:p w14:paraId="743A6AB8" w14:textId="77777777" w:rsidR="00F51AB2" w:rsidRDefault="00D35D23">
            <w:pPr>
              <w:pStyle w:val="TableParagraph"/>
              <w:ind w:left="2626"/>
              <w:rPr>
                <w:b/>
                <w:sz w:val="24"/>
              </w:rPr>
            </w:pPr>
            <w:r>
              <w:rPr>
                <w:b/>
                <w:sz w:val="24"/>
              </w:rPr>
              <w:t>Summary and recommendations</w:t>
            </w:r>
          </w:p>
        </w:tc>
      </w:tr>
      <w:tr w:rsidR="00F51AB2" w14:paraId="531DAAD2" w14:textId="77777777" w:rsidTr="00D75149">
        <w:trPr>
          <w:trHeight w:hRule="exact" w:val="670"/>
        </w:trPr>
        <w:tc>
          <w:tcPr>
            <w:tcW w:w="2327" w:type="dxa"/>
            <w:tcBorders>
              <w:bottom w:val="single" w:sz="4" w:space="0" w:color="000000" w:themeColor="text1"/>
              <w:right w:val="nil"/>
            </w:tcBorders>
          </w:tcPr>
          <w:p w14:paraId="6BEDB967" w14:textId="77777777" w:rsidR="00F51AB2" w:rsidRDefault="00D35D23">
            <w:pPr>
              <w:pStyle w:val="TableParagraph"/>
              <w:spacing w:before="4" w:line="270" w:lineRule="exact"/>
              <w:ind w:left="100"/>
              <w:rPr>
                <w:b/>
                <w:sz w:val="24"/>
              </w:rPr>
            </w:pPr>
            <w:bookmarkStart w:id="0" w:name="_Hlk161735026"/>
            <w:r>
              <w:rPr>
                <w:b/>
                <w:sz w:val="24"/>
              </w:rPr>
              <w:t>Purpose of report:</w:t>
            </w:r>
          </w:p>
        </w:tc>
        <w:tc>
          <w:tcPr>
            <w:tcW w:w="7142" w:type="dxa"/>
            <w:tcBorders>
              <w:left w:val="nil"/>
              <w:bottom w:val="single" w:sz="4" w:space="0" w:color="000000" w:themeColor="text1"/>
            </w:tcBorders>
          </w:tcPr>
          <w:p w14:paraId="1B8D82F2" w14:textId="77777777" w:rsidR="00F51AB2" w:rsidRDefault="00D35D23">
            <w:pPr>
              <w:pStyle w:val="TableParagraph"/>
              <w:spacing w:before="4" w:line="270" w:lineRule="exact"/>
              <w:ind w:left="508" w:right="1033"/>
              <w:rPr>
                <w:sz w:val="24"/>
              </w:rPr>
            </w:pPr>
            <w:r>
              <w:rPr>
                <w:sz w:val="24"/>
              </w:rPr>
              <w:t>This report provides an update into the activities of Barton Oxford LLP (BOLLP) over the past quarter.</w:t>
            </w:r>
          </w:p>
        </w:tc>
      </w:tr>
      <w:tr w:rsidR="00D75149" w14:paraId="54F594C8" w14:textId="77777777" w:rsidTr="00D75149">
        <w:trPr>
          <w:trHeight w:hRule="exact" w:val="680"/>
        </w:trPr>
        <w:tc>
          <w:tcPr>
            <w:tcW w:w="946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tbl>
            <w:tblPr>
              <w:tblW w:w="981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11"/>
              <w:gridCol w:w="7601"/>
            </w:tblGrid>
            <w:tr w:rsidR="00D75149" w14:paraId="52C434DB" w14:textId="77777777" w:rsidTr="00D75149">
              <w:trPr>
                <w:trHeight w:hRule="exact" w:val="670"/>
              </w:trPr>
              <w:tc>
                <w:tcPr>
                  <w:tcW w:w="2211" w:type="dxa"/>
                  <w:tcBorders>
                    <w:bottom w:val="single" w:sz="4" w:space="0" w:color="000000" w:themeColor="text1"/>
                    <w:right w:val="nil"/>
                  </w:tcBorders>
                </w:tcPr>
                <w:p w14:paraId="0A589A30" w14:textId="7EA2A9F9" w:rsidR="00D75149" w:rsidRDefault="00D75149" w:rsidP="00D75149">
                  <w:pPr>
                    <w:pStyle w:val="TableParagraph"/>
                    <w:spacing w:before="4" w:line="270" w:lineRule="exact"/>
                    <w:ind w:left="10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Recommendation:</w:t>
                  </w:r>
                </w:p>
              </w:tc>
              <w:tc>
                <w:tcPr>
                  <w:tcW w:w="7601" w:type="dxa"/>
                  <w:tcBorders>
                    <w:left w:val="nil"/>
                    <w:bottom w:val="single" w:sz="4" w:space="0" w:color="000000" w:themeColor="text1"/>
                  </w:tcBorders>
                </w:tcPr>
                <w:p w14:paraId="041FCB3A" w14:textId="4A4F9123" w:rsidR="00D75149" w:rsidRDefault="00D75149" w:rsidP="00D75149">
                  <w:pPr>
                    <w:pStyle w:val="TableParagraph"/>
                    <w:spacing w:before="4" w:line="270" w:lineRule="exact"/>
                    <w:ind w:left="508" w:right="1033"/>
                    <w:rPr>
                      <w:sz w:val="24"/>
                    </w:rPr>
                  </w:pPr>
                  <w:r>
                    <w:rPr>
                      <w:sz w:val="24"/>
                    </w:rPr>
                    <w:t>That the Shareholder and Joint Venture Group resolve to:</w:t>
                  </w:r>
                </w:p>
              </w:tc>
            </w:tr>
          </w:tbl>
          <w:p w14:paraId="1604E5EE" w14:textId="092FD059" w:rsidR="00D75149" w:rsidRPr="00D75149" w:rsidRDefault="00D75149">
            <w:pPr>
              <w:pStyle w:val="TableParagraph"/>
              <w:spacing w:line="338" w:lineRule="auto"/>
              <w:ind w:left="100" w:right="6328"/>
              <w:rPr>
                <w:bCs/>
                <w:sz w:val="24"/>
              </w:rPr>
            </w:pPr>
          </w:p>
        </w:tc>
      </w:tr>
      <w:tr w:rsidR="00F51AB2" w14:paraId="016D337F" w14:textId="77777777" w:rsidTr="00D75149">
        <w:trPr>
          <w:trHeight w:hRule="exact" w:val="907"/>
        </w:trPr>
        <w:tc>
          <w:tcPr>
            <w:tcW w:w="946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55BD8E1" w14:textId="77777777" w:rsidR="00F51AB2" w:rsidRDefault="3093337E" w:rsidP="3B7B2F66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13" w:line="270" w:lineRule="exact"/>
              <w:ind w:right="1915"/>
              <w:rPr>
                <w:sz w:val="24"/>
                <w:szCs w:val="24"/>
              </w:rPr>
            </w:pPr>
            <w:r w:rsidRPr="3093337E">
              <w:rPr>
                <w:sz w:val="24"/>
                <w:szCs w:val="24"/>
              </w:rPr>
              <w:t>Note the contents of the</w:t>
            </w:r>
            <w:r w:rsidRPr="3093337E">
              <w:rPr>
                <w:spacing w:val="-8"/>
                <w:sz w:val="24"/>
                <w:szCs w:val="24"/>
              </w:rPr>
              <w:t xml:space="preserve"> </w:t>
            </w:r>
            <w:r w:rsidRPr="3093337E">
              <w:rPr>
                <w:sz w:val="24"/>
                <w:szCs w:val="24"/>
              </w:rPr>
              <w:t>report</w:t>
            </w:r>
          </w:p>
        </w:tc>
      </w:tr>
      <w:bookmarkEnd w:id="0"/>
    </w:tbl>
    <w:p w14:paraId="5A39BBE3" w14:textId="77777777" w:rsidR="00F51AB2" w:rsidRDefault="00F51AB2">
      <w:pPr>
        <w:pStyle w:val="BodyText"/>
        <w:rPr>
          <w:b/>
          <w:sz w:val="20"/>
        </w:rPr>
      </w:pPr>
    </w:p>
    <w:p w14:paraId="41C8F396" w14:textId="77777777" w:rsidR="00F51AB2" w:rsidRDefault="00F51AB2">
      <w:pPr>
        <w:pStyle w:val="BodyText"/>
        <w:spacing w:before="10"/>
        <w:rPr>
          <w:b/>
          <w:sz w:val="13"/>
        </w:rPr>
      </w:pPr>
    </w:p>
    <w:tbl>
      <w:tblPr>
        <w:tblW w:w="0" w:type="auto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9"/>
      </w:tblGrid>
      <w:tr w:rsidR="00F51AB2" w14:paraId="415A6A99" w14:textId="77777777">
        <w:trPr>
          <w:trHeight w:hRule="exact" w:val="505"/>
        </w:trPr>
        <w:tc>
          <w:tcPr>
            <w:tcW w:w="9479" w:type="dxa"/>
          </w:tcPr>
          <w:p w14:paraId="3DBF17A9" w14:textId="77777777" w:rsidR="00F51AB2" w:rsidRDefault="00D35D23">
            <w:pPr>
              <w:pStyle w:val="TableParagraph"/>
              <w:ind w:left="3491" w:right="4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Appendices</w:t>
            </w:r>
          </w:p>
        </w:tc>
      </w:tr>
      <w:tr w:rsidR="00F51AB2" w14:paraId="18A1C414" w14:textId="77777777">
        <w:trPr>
          <w:trHeight w:hRule="exact" w:val="391"/>
        </w:trPr>
        <w:tc>
          <w:tcPr>
            <w:tcW w:w="9479" w:type="dxa"/>
            <w:tcBorders>
              <w:bottom w:val="single" w:sz="4" w:space="0" w:color="000000"/>
            </w:tcBorders>
          </w:tcPr>
          <w:p w14:paraId="61A40960" w14:textId="39E0DC3E" w:rsidR="00F51AB2" w:rsidRDefault="00D35D23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 xml:space="preserve">1.  </w:t>
            </w:r>
            <w:r w:rsidR="00D75149">
              <w:rPr>
                <w:sz w:val="24"/>
              </w:rPr>
              <w:t>Appendix 1 – Confidential appendix</w:t>
            </w:r>
          </w:p>
        </w:tc>
      </w:tr>
    </w:tbl>
    <w:p w14:paraId="72A3D3EC" w14:textId="77777777" w:rsidR="00F51AB2" w:rsidRDefault="00F51AB2">
      <w:pPr>
        <w:pStyle w:val="BodyText"/>
        <w:rPr>
          <w:b/>
          <w:sz w:val="20"/>
        </w:rPr>
      </w:pPr>
    </w:p>
    <w:p w14:paraId="0D0B940D" w14:textId="77777777" w:rsidR="00F51AB2" w:rsidRDefault="00F51AB2">
      <w:pPr>
        <w:pStyle w:val="BodyText"/>
        <w:rPr>
          <w:b/>
          <w:sz w:val="18"/>
        </w:rPr>
      </w:pPr>
    </w:p>
    <w:p w14:paraId="794199FA" w14:textId="77777777" w:rsidR="00F51AB2" w:rsidRDefault="00D35D23">
      <w:pPr>
        <w:spacing w:before="93"/>
        <w:ind w:left="105"/>
        <w:rPr>
          <w:b/>
          <w:sz w:val="24"/>
        </w:rPr>
      </w:pPr>
      <w:r>
        <w:rPr>
          <w:b/>
          <w:sz w:val="24"/>
        </w:rPr>
        <w:t>Introduction and background</w:t>
      </w:r>
    </w:p>
    <w:p w14:paraId="427EC6D5" w14:textId="3AD6256B" w:rsidR="00F51AB2" w:rsidRDefault="3093337E" w:rsidP="3093337E">
      <w:pPr>
        <w:pStyle w:val="ListParagraph"/>
        <w:numPr>
          <w:ilvl w:val="0"/>
          <w:numId w:val="1"/>
        </w:numPr>
        <w:tabs>
          <w:tab w:val="left" w:pos="806"/>
        </w:tabs>
        <w:spacing w:before="118" w:line="270" w:lineRule="exact"/>
        <w:ind w:right="1498"/>
        <w:rPr>
          <w:sz w:val="24"/>
          <w:szCs w:val="24"/>
        </w:rPr>
      </w:pPr>
      <w:r w:rsidRPr="3093337E">
        <w:rPr>
          <w:sz w:val="24"/>
          <w:szCs w:val="24"/>
        </w:rPr>
        <w:t xml:space="preserve">This is the seventeenth report to the Shareholder and Joint Venture Group covering the period since the previous update in </w:t>
      </w:r>
      <w:r w:rsidR="275E15DD" w:rsidRPr="3093337E">
        <w:rPr>
          <w:sz w:val="24"/>
          <w:szCs w:val="24"/>
        </w:rPr>
        <w:t>December 2023</w:t>
      </w:r>
      <w:r w:rsidRPr="3093337E">
        <w:rPr>
          <w:sz w:val="24"/>
          <w:szCs w:val="24"/>
        </w:rPr>
        <w:t>.</w:t>
      </w:r>
    </w:p>
    <w:p w14:paraId="7D94D938" w14:textId="61019F7F" w:rsidR="00F51AB2" w:rsidRDefault="3093337E" w:rsidP="3093337E">
      <w:pPr>
        <w:pStyle w:val="ListParagraph"/>
        <w:numPr>
          <w:ilvl w:val="0"/>
          <w:numId w:val="1"/>
        </w:numPr>
        <w:tabs>
          <w:tab w:val="left" w:pos="806"/>
        </w:tabs>
        <w:spacing w:before="112" w:line="232" w:lineRule="auto"/>
        <w:ind w:right="1058"/>
        <w:rPr>
          <w:sz w:val="24"/>
          <w:szCs w:val="24"/>
        </w:rPr>
      </w:pPr>
      <w:r w:rsidRPr="3093337E">
        <w:rPr>
          <w:sz w:val="24"/>
          <w:szCs w:val="24"/>
        </w:rPr>
        <w:t xml:space="preserve">In terms of wider market context, the fall in national house prices appears to have stopped and there is cautious optimism that a return to growth will be seen in Q3/4 2024. Anecdotally agents still report that the Oxford market continues to show </w:t>
      </w:r>
      <w:r w:rsidR="4DEE0786" w:rsidRPr="3093337E">
        <w:rPr>
          <w:sz w:val="24"/>
          <w:szCs w:val="24"/>
        </w:rPr>
        <w:t>resilience,</w:t>
      </w:r>
      <w:r w:rsidRPr="3093337E">
        <w:rPr>
          <w:sz w:val="24"/>
          <w:szCs w:val="24"/>
        </w:rPr>
        <w:t xml:space="preserve"> and, in the last Q 2023, Oxford house prices performed better than the average for the </w:t>
      </w:r>
      <w:r w:rsidR="54549DEA" w:rsidRPr="3093337E">
        <w:rPr>
          <w:sz w:val="24"/>
          <w:szCs w:val="24"/>
        </w:rPr>
        <w:t>southeast</w:t>
      </w:r>
      <w:r w:rsidRPr="3093337E">
        <w:rPr>
          <w:sz w:val="24"/>
          <w:szCs w:val="24"/>
        </w:rPr>
        <w:t>.</w:t>
      </w:r>
      <w:r w:rsidR="74DE8588" w:rsidRPr="3093337E">
        <w:rPr>
          <w:sz w:val="24"/>
          <w:szCs w:val="24"/>
        </w:rPr>
        <w:t xml:space="preserve"> On the supply side inflation has eased, and cost increases are more predictable</w:t>
      </w:r>
      <w:r w:rsidR="12F2CD40" w:rsidRPr="3093337E">
        <w:rPr>
          <w:sz w:val="24"/>
          <w:szCs w:val="24"/>
        </w:rPr>
        <w:t xml:space="preserve">, </w:t>
      </w:r>
      <w:r w:rsidR="5245A198" w:rsidRPr="3093337E">
        <w:rPr>
          <w:sz w:val="24"/>
          <w:szCs w:val="24"/>
        </w:rPr>
        <w:t>subcontractors</w:t>
      </w:r>
      <w:r w:rsidR="12F2CD40" w:rsidRPr="3093337E">
        <w:rPr>
          <w:sz w:val="24"/>
          <w:szCs w:val="24"/>
        </w:rPr>
        <w:t xml:space="preserve"> are fixing prices again</w:t>
      </w:r>
      <w:r w:rsidR="74DE8588" w:rsidRPr="3093337E">
        <w:rPr>
          <w:sz w:val="24"/>
          <w:szCs w:val="24"/>
        </w:rPr>
        <w:t xml:space="preserve">. </w:t>
      </w:r>
      <w:r w:rsidR="078E1693" w:rsidRPr="3093337E">
        <w:rPr>
          <w:sz w:val="24"/>
          <w:szCs w:val="24"/>
        </w:rPr>
        <w:t xml:space="preserve">There are </w:t>
      </w:r>
      <w:r w:rsidR="65585857" w:rsidRPr="3093337E">
        <w:rPr>
          <w:sz w:val="24"/>
          <w:szCs w:val="24"/>
        </w:rPr>
        <w:t>risks emerging</w:t>
      </w:r>
      <w:r w:rsidR="078E1693" w:rsidRPr="3093337E">
        <w:rPr>
          <w:sz w:val="24"/>
          <w:szCs w:val="24"/>
        </w:rPr>
        <w:t xml:space="preserve"> due to the situation in the Red Sea</w:t>
      </w:r>
      <w:r w:rsidR="667336E2" w:rsidRPr="3093337E">
        <w:rPr>
          <w:sz w:val="24"/>
          <w:szCs w:val="24"/>
        </w:rPr>
        <w:t xml:space="preserve"> which could affect supply chains</w:t>
      </w:r>
      <w:r w:rsidR="078E1693" w:rsidRPr="3093337E">
        <w:rPr>
          <w:sz w:val="24"/>
          <w:szCs w:val="24"/>
        </w:rPr>
        <w:t>.</w:t>
      </w:r>
    </w:p>
    <w:p w14:paraId="42861D24" w14:textId="675F1752" w:rsidR="00F51AB2" w:rsidRDefault="3093337E" w:rsidP="3093337E">
      <w:pPr>
        <w:pStyle w:val="ListParagraph"/>
        <w:numPr>
          <w:ilvl w:val="0"/>
          <w:numId w:val="1"/>
        </w:numPr>
        <w:tabs>
          <w:tab w:val="left" w:pos="806"/>
        </w:tabs>
        <w:spacing w:before="122" w:line="232" w:lineRule="auto"/>
        <w:ind w:right="965"/>
        <w:rPr>
          <w:sz w:val="24"/>
          <w:szCs w:val="24"/>
        </w:rPr>
      </w:pPr>
      <w:r w:rsidRPr="3B7B2F66">
        <w:rPr>
          <w:sz w:val="24"/>
          <w:szCs w:val="24"/>
        </w:rPr>
        <w:t xml:space="preserve">On site delivery at Barton Park continues with two active phases – phase 3 with </w:t>
      </w:r>
      <w:proofErr w:type="spellStart"/>
      <w:r w:rsidRPr="3B7B2F66">
        <w:rPr>
          <w:sz w:val="24"/>
          <w:szCs w:val="24"/>
        </w:rPr>
        <w:t>Redrow</w:t>
      </w:r>
      <w:proofErr w:type="spellEnd"/>
      <w:r w:rsidRPr="3B7B2F66">
        <w:rPr>
          <w:sz w:val="24"/>
          <w:szCs w:val="24"/>
        </w:rPr>
        <w:t xml:space="preserve"> and phases 2 and 4 with </w:t>
      </w:r>
      <w:proofErr w:type="spellStart"/>
      <w:r w:rsidRPr="3B7B2F66">
        <w:rPr>
          <w:sz w:val="24"/>
          <w:szCs w:val="24"/>
        </w:rPr>
        <w:t>Vistry</w:t>
      </w:r>
      <w:proofErr w:type="spellEnd"/>
      <w:r w:rsidRPr="3B7B2F66">
        <w:rPr>
          <w:sz w:val="24"/>
          <w:szCs w:val="24"/>
        </w:rPr>
        <w:t xml:space="preserve">/Countryside. Some on-site delays have been reported. In the last report we identified changes in personnel relating to </w:t>
      </w:r>
      <w:proofErr w:type="spellStart"/>
      <w:r w:rsidRPr="3B7B2F66">
        <w:rPr>
          <w:sz w:val="24"/>
          <w:szCs w:val="24"/>
        </w:rPr>
        <w:t>Vistry’s</w:t>
      </w:r>
      <w:proofErr w:type="spellEnd"/>
      <w:r w:rsidRPr="3B7B2F66">
        <w:rPr>
          <w:sz w:val="24"/>
          <w:szCs w:val="24"/>
        </w:rPr>
        <w:t xml:space="preserve"> takeover of Countryside, these now appear to have been</w:t>
      </w:r>
      <w:r w:rsidR="003A749F">
        <w:rPr>
          <w:sz w:val="24"/>
          <w:szCs w:val="24"/>
        </w:rPr>
        <w:t xml:space="preserve"> </w:t>
      </w:r>
      <w:r w:rsidRPr="3B7B2F66">
        <w:rPr>
          <w:sz w:val="24"/>
          <w:szCs w:val="24"/>
        </w:rPr>
        <w:t xml:space="preserve">resolved and </w:t>
      </w:r>
      <w:proofErr w:type="spellStart"/>
      <w:r w:rsidRPr="3B7B2F66">
        <w:rPr>
          <w:sz w:val="24"/>
          <w:szCs w:val="24"/>
        </w:rPr>
        <w:t>Vistry</w:t>
      </w:r>
      <w:proofErr w:type="spellEnd"/>
      <w:r w:rsidRPr="3B7B2F66">
        <w:rPr>
          <w:sz w:val="24"/>
          <w:szCs w:val="24"/>
        </w:rPr>
        <w:t xml:space="preserve"> are now actively working on site. </w:t>
      </w:r>
      <w:proofErr w:type="spellStart"/>
      <w:r w:rsidRPr="3B7B2F66">
        <w:rPr>
          <w:sz w:val="24"/>
          <w:szCs w:val="24"/>
        </w:rPr>
        <w:t>Redrow</w:t>
      </w:r>
      <w:proofErr w:type="spellEnd"/>
      <w:r w:rsidRPr="3B7B2F66">
        <w:rPr>
          <w:sz w:val="24"/>
          <w:szCs w:val="24"/>
        </w:rPr>
        <w:t xml:space="preserve"> </w:t>
      </w:r>
      <w:r w:rsidR="3A0DA6E7" w:rsidRPr="3B7B2F66">
        <w:rPr>
          <w:sz w:val="24"/>
          <w:szCs w:val="24"/>
        </w:rPr>
        <w:t>has</w:t>
      </w:r>
      <w:r w:rsidRPr="3B7B2F66">
        <w:rPr>
          <w:sz w:val="24"/>
          <w:szCs w:val="24"/>
        </w:rPr>
        <w:t xml:space="preserve"> been taken over by Barratt in a £2.5bn deal (Feb 7th) although there are currently no signs that this has </w:t>
      </w:r>
      <w:proofErr w:type="gramStart"/>
      <w:r w:rsidRPr="3B7B2F66">
        <w:rPr>
          <w:sz w:val="24"/>
          <w:szCs w:val="24"/>
        </w:rPr>
        <w:t>had an effect on</w:t>
      </w:r>
      <w:proofErr w:type="gramEnd"/>
      <w:r w:rsidRPr="3B7B2F66">
        <w:rPr>
          <w:sz w:val="24"/>
          <w:szCs w:val="24"/>
        </w:rPr>
        <w:t xml:space="preserve"> this site. The LLP is trying to actively engage to understand any change</w:t>
      </w:r>
      <w:r w:rsidR="25181C14" w:rsidRPr="3B7B2F66">
        <w:rPr>
          <w:sz w:val="24"/>
          <w:szCs w:val="24"/>
        </w:rPr>
        <w:t xml:space="preserve"> </w:t>
      </w:r>
      <w:r w:rsidRPr="3B7B2F66">
        <w:rPr>
          <w:sz w:val="24"/>
          <w:szCs w:val="24"/>
        </w:rPr>
        <w:t xml:space="preserve">in emphasis. </w:t>
      </w:r>
    </w:p>
    <w:p w14:paraId="0E27B00A" w14:textId="77777777" w:rsidR="00F51AB2" w:rsidRDefault="00F51AB2">
      <w:pPr>
        <w:pStyle w:val="BodyText"/>
        <w:spacing w:before="7"/>
        <w:rPr>
          <w:sz w:val="27"/>
        </w:rPr>
      </w:pPr>
    </w:p>
    <w:p w14:paraId="02614873" w14:textId="77777777" w:rsidR="00F51AB2" w:rsidRDefault="00D35D23">
      <w:pPr>
        <w:spacing w:before="94"/>
        <w:ind w:left="105"/>
        <w:rPr>
          <w:sz w:val="18"/>
        </w:rPr>
      </w:pPr>
      <w:r>
        <w:rPr>
          <w:sz w:val="18"/>
        </w:rPr>
        <w:t>.</w:t>
      </w:r>
    </w:p>
    <w:p w14:paraId="60061E4C" w14:textId="77777777" w:rsidR="00F51AB2" w:rsidRDefault="00F51AB2">
      <w:pPr>
        <w:rPr>
          <w:sz w:val="18"/>
        </w:rPr>
        <w:sectPr w:rsidR="00F51AB2">
          <w:type w:val="continuous"/>
          <w:pgSz w:w="11910" w:h="16840"/>
          <w:pgMar w:top="860" w:right="860" w:bottom="280" w:left="1200" w:header="720" w:footer="720" w:gutter="0"/>
          <w:cols w:space="720"/>
        </w:sectPr>
      </w:pPr>
    </w:p>
    <w:p w14:paraId="44EAFD9C" w14:textId="2BB24AAC" w:rsidR="00F51AB2" w:rsidRDefault="3093337E" w:rsidP="3B7B2F66">
      <w:pPr>
        <w:pStyle w:val="ListParagraph"/>
        <w:numPr>
          <w:ilvl w:val="0"/>
          <w:numId w:val="1"/>
        </w:numPr>
        <w:tabs>
          <w:tab w:val="left" w:pos="806"/>
        </w:tabs>
        <w:spacing w:before="75" w:line="235" w:lineRule="auto"/>
        <w:ind w:right="151"/>
        <w:rPr>
          <w:sz w:val="24"/>
          <w:szCs w:val="24"/>
        </w:rPr>
      </w:pPr>
      <w:r w:rsidRPr="3B7B2F66">
        <w:rPr>
          <w:sz w:val="24"/>
          <w:szCs w:val="24"/>
        </w:rPr>
        <w:lastRenderedPageBreak/>
        <w:t xml:space="preserve">Other remaining activities for the LLP are the sale of phase 3B and concluding the agreements regarding the land north of Bayswater </w:t>
      </w:r>
      <w:r w:rsidR="724BF5B4" w:rsidRPr="3B7B2F66">
        <w:rPr>
          <w:sz w:val="24"/>
          <w:szCs w:val="24"/>
        </w:rPr>
        <w:t>Brook. Details</w:t>
      </w:r>
      <w:r w:rsidR="259C4E36" w:rsidRPr="3B7B2F66">
        <w:rPr>
          <w:sz w:val="24"/>
          <w:szCs w:val="24"/>
        </w:rPr>
        <w:t xml:space="preserve"> relating to th</w:t>
      </w:r>
      <w:r w:rsidR="5B417CF8" w:rsidRPr="3B7B2F66">
        <w:rPr>
          <w:sz w:val="24"/>
          <w:szCs w:val="24"/>
        </w:rPr>
        <w:t>e sa</w:t>
      </w:r>
      <w:r w:rsidR="5BA39F3A" w:rsidRPr="3B7B2F66">
        <w:rPr>
          <w:sz w:val="24"/>
          <w:szCs w:val="24"/>
        </w:rPr>
        <w:t xml:space="preserve">le of 3B </w:t>
      </w:r>
      <w:r w:rsidR="7AA76A1F" w:rsidRPr="3B7B2F66">
        <w:rPr>
          <w:sz w:val="24"/>
          <w:szCs w:val="24"/>
        </w:rPr>
        <w:t xml:space="preserve">are attached in the confidential appendix </w:t>
      </w:r>
      <w:r w:rsidR="2CE0FB3E" w:rsidRPr="3B7B2F66">
        <w:rPr>
          <w:sz w:val="24"/>
          <w:szCs w:val="24"/>
        </w:rPr>
        <w:t>A. On</w:t>
      </w:r>
      <w:r w:rsidR="7AA76A1F" w:rsidRPr="3B7B2F66">
        <w:rPr>
          <w:sz w:val="24"/>
          <w:szCs w:val="24"/>
        </w:rPr>
        <w:t xml:space="preserve"> the Bayswater Brook </w:t>
      </w:r>
      <w:r w:rsidR="0E504BA4" w:rsidRPr="3B7B2F66">
        <w:rPr>
          <w:sz w:val="24"/>
          <w:szCs w:val="24"/>
        </w:rPr>
        <w:t>deal, the</w:t>
      </w:r>
      <w:r w:rsidR="5B417CF8" w:rsidRPr="3B7B2F66">
        <w:rPr>
          <w:sz w:val="24"/>
          <w:szCs w:val="24"/>
        </w:rPr>
        <w:t xml:space="preserve"> documents are agreed</w:t>
      </w:r>
      <w:r w:rsidR="11186206" w:rsidRPr="3B7B2F66">
        <w:rPr>
          <w:sz w:val="24"/>
          <w:szCs w:val="24"/>
        </w:rPr>
        <w:t>,</w:t>
      </w:r>
      <w:r w:rsidR="5B417CF8" w:rsidRPr="3B7B2F66">
        <w:rPr>
          <w:sz w:val="24"/>
          <w:szCs w:val="24"/>
        </w:rPr>
        <w:t xml:space="preserve"> and we are awaiting final plans </w:t>
      </w:r>
      <w:r w:rsidR="36D33F28" w:rsidRPr="3B7B2F66">
        <w:rPr>
          <w:sz w:val="24"/>
          <w:szCs w:val="24"/>
        </w:rPr>
        <w:t>to</w:t>
      </w:r>
      <w:r w:rsidR="5B417CF8" w:rsidRPr="3B7B2F66">
        <w:rPr>
          <w:sz w:val="24"/>
          <w:szCs w:val="24"/>
        </w:rPr>
        <w:t xml:space="preserve"> complete the agreement</w:t>
      </w:r>
      <w:r w:rsidRPr="3B7B2F66">
        <w:rPr>
          <w:sz w:val="24"/>
          <w:szCs w:val="24"/>
        </w:rPr>
        <w:t>.</w:t>
      </w:r>
    </w:p>
    <w:p w14:paraId="706DBACE" w14:textId="2A50D8EB" w:rsidR="00F51AB2" w:rsidRDefault="3093337E">
      <w:pPr>
        <w:pStyle w:val="Heading1"/>
        <w:spacing w:before="201"/>
      </w:pPr>
      <w:r>
        <w:t>External auditors</w:t>
      </w:r>
    </w:p>
    <w:p w14:paraId="4B94D5A5" w14:textId="2DB90AE0" w:rsidR="00F51AB2" w:rsidRDefault="18D267BC" w:rsidP="3B7B2F66">
      <w:pPr>
        <w:pStyle w:val="ListParagraph"/>
        <w:numPr>
          <w:ilvl w:val="0"/>
          <w:numId w:val="1"/>
        </w:numPr>
        <w:tabs>
          <w:tab w:val="left" w:pos="821"/>
        </w:tabs>
        <w:spacing w:before="115" w:line="232" w:lineRule="auto"/>
        <w:ind w:left="821" w:right="131"/>
        <w:rPr>
          <w:sz w:val="24"/>
          <w:szCs w:val="24"/>
        </w:rPr>
      </w:pPr>
      <w:r w:rsidRPr="3B7B2F66">
        <w:rPr>
          <w:sz w:val="24"/>
          <w:szCs w:val="24"/>
        </w:rPr>
        <w:t xml:space="preserve">Deloitte have now been </w:t>
      </w:r>
      <w:r w:rsidR="004F0D78" w:rsidRPr="3B7B2F66">
        <w:rPr>
          <w:sz w:val="24"/>
          <w:szCs w:val="24"/>
        </w:rPr>
        <w:t>appointed.</w:t>
      </w:r>
      <w:r w:rsidRPr="3B7B2F66">
        <w:rPr>
          <w:sz w:val="24"/>
          <w:szCs w:val="24"/>
        </w:rPr>
        <w:t xml:space="preserve"> </w:t>
      </w:r>
    </w:p>
    <w:p w14:paraId="1C40641B" w14:textId="08EB23E3" w:rsidR="00F51AB2" w:rsidRDefault="3093337E">
      <w:pPr>
        <w:pStyle w:val="Heading1"/>
        <w:spacing w:before="210" w:line="270" w:lineRule="exact"/>
        <w:ind w:right="2776"/>
      </w:pPr>
      <w:r>
        <w:t>Progress Update on individual estates and estate-wide infrastructure</w:t>
      </w:r>
    </w:p>
    <w:p w14:paraId="1225E862" w14:textId="45886F23" w:rsidR="00F51AB2" w:rsidRPr="008410E7" w:rsidRDefault="3093337E" w:rsidP="008410E7">
      <w:pPr>
        <w:pStyle w:val="ListParagraph"/>
        <w:numPr>
          <w:ilvl w:val="0"/>
          <w:numId w:val="1"/>
        </w:numPr>
        <w:tabs>
          <w:tab w:val="left" w:pos="806"/>
        </w:tabs>
        <w:spacing w:before="115" w:line="270" w:lineRule="exact"/>
        <w:jc w:val="both"/>
        <w:rPr>
          <w:sz w:val="24"/>
          <w:szCs w:val="24"/>
        </w:rPr>
      </w:pPr>
      <w:r w:rsidRPr="008410E7">
        <w:rPr>
          <w:sz w:val="24"/>
          <w:szCs w:val="24"/>
        </w:rPr>
        <w:t>As previously reported, the first phase (developer: Hill) of 237 homes with 95 affordable is now completed with no significant issues to</w:t>
      </w:r>
      <w:r w:rsidRPr="008410E7">
        <w:rPr>
          <w:spacing w:val="-24"/>
          <w:sz w:val="24"/>
          <w:szCs w:val="24"/>
        </w:rPr>
        <w:t xml:space="preserve"> </w:t>
      </w:r>
      <w:r w:rsidRPr="008410E7">
        <w:rPr>
          <w:sz w:val="24"/>
          <w:szCs w:val="24"/>
        </w:rPr>
        <w:t>report.</w:t>
      </w:r>
    </w:p>
    <w:p w14:paraId="22462CD4" w14:textId="4D29503F" w:rsidR="00F51AB2" w:rsidRDefault="3093337E" w:rsidP="008410E7">
      <w:pPr>
        <w:pStyle w:val="ListParagraph"/>
        <w:tabs>
          <w:tab w:val="left" w:pos="806"/>
        </w:tabs>
        <w:spacing w:before="117" w:line="232" w:lineRule="auto"/>
        <w:ind w:firstLine="0"/>
        <w:rPr>
          <w:sz w:val="24"/>
          <w:szCs w:val="24"/>
        </w:rPr>
      </w:pPr>
      <w:r w:rsidRPr="3093337E">
        <w:rPr>
          <w:sz w:val="24"/>
          <w:szCs w:val="24"/>
        </w:rPr>
        <w:t xml:space="preserve">The second phase (developer: </w:t>
      </w:r>
      <w:proofErr w:type="spellStart"/>
      <w:r w:rsidRPr="3093337E">
        <w:rPr>
          <w:sz w:val="24"/>
          <w:szCs w:val="24"/>
        </w:rPr>
        <w:t>Redrow</w:t>
      </w:r>
      <w:proofErr w:type="spellEnd"/>
      <w:r w:rsidRPr="3093337E">
        <w:rPr>
          <w:sz w:val="24"/>
          <w:szCs w:val="24"/>
        </w:rPr>
        <w:t xml:space="preserve">) is to deliver 207 homes in total of which 83 are affordable. At the start of October 2023, </w:t>
      </w:r>
      <w:proofErr w:type="spellStart"/>
      <w:r w:rsidRPr="3093337E">
        <w:rPr>
          <w:sz w:val="24"/>
          <w:szCs w:val="24"/>
        </w:rPr>
        <w:t>Redrow</w:t>
      </w:r>
      <w:proofErr w:type="spellEnd"/>
      <w:r w:rsidRPr="3093337E">
        <w:rPr>
          <w:sz w:val="24"/>
          <w:szCs w:val="24"/>
        </w:rPr>
        <w:t xml:space="preserve"> had reported 120</w:t>
      </w:r>
      <w:r w:rsidRPr="3093337E">
        <w:rPr>
          <w:spacing w:val="-12"/>
          <w:sz w:val="24"/>
          <w:szCs w:val="24"/>
        </w:rPr>
        <w:t xml:space="preserve"> </w:t>
      </w:r>
      <w:r w:rsidRPr="3093337E">
        <w:rPr>
          <w:sz w:val="24"/>
          <w:szCs w:val="24"/>
        </w:rPr>
        <w:t>completions</w:t>
      </w:r>
      <w:r w:rsidRPr="3093337E">
        <w:rPr>
          <w:spacing w:val="-11"/>
          <w:sz w:val="24"/>
          <w:szCs w:val="24"/>
        </w:rPr>
        <w:t xml:space="preserve"> </w:t>
      </w:r>
      <w:r w:rsidRPr="3093337E">
        <w:rPr>
          <w:sz w:val="24"/>
          <w:szCs w:val="24"/>
        </w:rPr>
        <w:t>–</w:t>
      </w:r>
      <w:r w:rsidRPr="3093337E">
        <w:rPr>
          <w:spacing w:val="-12"/>
          <w:sz w:val="24"/>
          <w:szCs w:val="24"/>
        </w:rPr>
        <w:t xml:space="preserve"> </w:t>
      </w:r>
      <w:r w:rsidRPr="3093337E">
        <w:rPr>
          <w:sz w:val="24"/>
          <w:szCs w:val="24"/>
        </w:rPr>
        <w:t>48</w:t>
      </w:r>
      <w:r w:rsidRPr="3093337E">
        <w:rPr>
          <w:spacing w:val="-12"/>
          <w:sz w:val="24"/>
          <w:szCs w:val="24"/>
        </w:rPr>
        <w:t xml:space="preserve"> </w:t>
      </w:r>
      <w:r w:rsidRPr="3093337E">
        <w:rPr>
          <w:sz w:val="24"/>
          <w:szCs w:val="24"/>
        </w:rPr>
        <w:t>affordable</w:t>
      </w:r>
      <w:r w:rsidRPr="3093337E">
        <w:rPr>
          <w:spacing w:val="-12"/>
          <w:sz w:val="24"/>
          <w:szCs w:val="24"/>
        </w:rPr>
        <w:t xml:space="preserve"> </w:t>
      </w:r>
      <w:r w:rsidRPr="3093337E">
        <w:rPr>
          <w:sz w:val="24"/>
          <w:szCs w:val="24"/>
        </w:rPr>
        <w:t>and</w:t>
      </w:r>
      <w:r w:rsidRPr="3093337E">
        <w:rPr>
          <w:spacing w:val="-12"/>
          <w:sz w:val="24"/>
          <w:szCs w:val="24"/>
        </w:rPr>
        <w:t xml:space="preserve"> </w:t>
      </w:r>
      <w:r w:rsidRPr="3093337E">
        <w:rPr>
          <w:sz w:val="24"/>
          <w:szCs w:val="24"/>
        </w:rPr>
        <w:t>72</w:t>
      </w:r>
      <w:r w:rsidRPr="3093337E">
        <w:rPr>
          <w:spacing w:val="-12"/>
          <w:sz w:val="24"/>
          <w:szCs w:val="24"/>
        </w:rPr>
        <w:t xml:space="preserve"> </w:t>
      </w:r>
      <w:r w:rsidRPr="3093337E">
        <w:rPr>
          <w:sz w:val="24"/>
          <w:szCs w:val="24"/>
        </w:rPr>
        <w:t>private</w:t>
      </w:r>
      <w:r w:rsidRPr="3093337E">
        <w:rPr>
          <w:spacing w:val="-12"/>
          <w:sz w:val="24"/>
          <w:szCs w:val="24"/>
        </w:rPr>
        <w:t xml:space="preserve"> </w:t>
      </w:r>
      <w:r w:rsidRPr="3093337E">
        <w:rPr>
          <w:sz w:val="24"/>
          <w:szCs w:val="24"/>
        </w:rPr>
        <w:t>sales.</w:t>
      </w:r>
      <w:r w:rsidRPr="3093337E">
        <w:rPr>
          <w:spacing w:val="-10"/>
          <w:sz w:val="24"/>
          <w:szCs w:val="24"/>
        </w:rPr>
        <w:t xml:space="preserve"> </w:t>
      </w:r>
      <w:r w:rsidR="18714536" w:rsidRPr="3093337E">
        <w:rPr>
          <w:spacing w:val="-10"/>
          <w:sz w:val="24"/>
          <w:szCs w:val="24"/>
        </w:rPr>
        <w:t xml:space="preserve">As of </w:t>
      </w:r>
      <w:r w:rsidR="48819C4C" w:rsidRPr="3093337E">
        <w:rPr>
          <w:spacing w:val="-10"/>
          <w:sz w:val="24"/>
          <w:szCs w:val="24"/>
        </w:rPr>
        <w:t>February 2024,</w:t>
      </w:r>
      <w:r w:rsidR="18714536" w:rsidRPr="3093337E">
        <w:rPr>
          <w:spacing w:val="-10"/>
          <w:sz w:val="24"/>
          <w:szCs w:val="24"/>
        </w:rPr>
        <w:t xml:space="preserve"> there have been a further 11 private sale</w:t>
      </w:r>
      <w:r w:rsidR="5804FEB1" w:rsidRPr="3093337E">
        <w:rPr>
          <w:spacing w:val="-10"/>
          <w:sz w:val="24"/>
          <w:szCs w:val="24"/>
        </w:rPr>
        <w:t xml:space="preserve"> </w:t>
      </w:r>
      <w:r w:rsidR="04692929" w:rsidRPr="3093337E">
        <w:rPr>
          <w:spacing w:val="-10"/>
          <w:sz w:val="24"/>
          <w:szCs w:val="24"/>
        </w:rPr>
        <w:t>completions</w:t>
      </w:r>
      <w:r w:rsidR="18714536" w:rsidRPr="3093337E">
        <w:rPr>
          <w:spacing w:val="-10"/>
          <w:sz w:val="24"/>
          <w:szCs w:val="24"/>
        </w:rPr>
        <w:t>, with no change in affordable units delivered.</w:t>
      </w:r>
      <w:r w:rsidRPr="3093337E">
        <w:rPr>
          <w:sz w:val="24"/>
          <w:szCs w:val="24"/>
        </w:rPr>
        <w:t xml:space="preserve"> </w:t>
      </w:r>
      <w:proofErr w:type="spellStart"/>
      <w:r w:rsidRPr="3093337E">
        <w:rPr>
          <w:sz w:val="24"/>
          <w:szCs w:val="24"/>
        </w:rPr>
        <w:t>Redrow’s</w:t>
      </w:r>
      <w:proofErr w:type="spellEnd"/>
      <w:r w:rsidRPr="3093337E">
        <w:rPr>
          <w:sz w:val="24"/>
          <w:szCs w:val="24"/>
        </w:rPr>
        <w:t xml:space="preserve"> final completion is current</w:t>
      </w:r>
      <w:r w:rsidR="3C4B0142" w:rsidRPr="3093337E">
        <w:rPr>
          <w:sz w:val="24"/>
          <w:szCs w:val="24"/>
        </w:rPr>
        <w:t>ly</w:t>
      </w:r>
      <w:r w:rsidRPr="3093337E">
        <w:rPr>
          <w:sz w:val="24"/>
          <w:szCs w:val="24"/>
        </w:rPr>
        <w:t xml:space="preserve"> due in quarter 1 of</w:t>
      </w:r>
      <w:r w:rsidRPr="3093337E">
        <w:rPr>
          <w:spacing w:val="-27"/>
          <w:sz w:val="24"/>
          <w:szCs w:val="24"/>
        </w:rPr>
        <w:t xml:space="preserve"> </w:t>
      </w:r>
      <w:r w:rsidRPr="3093337E">
        <w:rPr>
          <w:sz w:val="24"/>
          <w:szCs w:val="24"/>
        </w:rPr>
        <w:t>2025.</w:t>
      </w:r>
    </w:p>
    <w:p w14:paraId="3DEEC669" w14:textId="77777777" w:rsidR="00F51AB2" w:rsidRDefault="00F51AB2">
      <w:pPr>
        <w:pStyle w:val="BodyText"/>
        <w:spacing w:before="7"/>
        <w:rPr>
          <w:sz w:val="33"/>
        </w:rPr>
      </w:pPr>
    </w:p>
    <w:p w14:paraId="3656B9AB" w14:textId="291C86B0" w:rsidR="00F51AB2" w:rsidRDefault="3093337E" w:rsidP="00155FA7">
      <w:pPr>
        <w:pStyle w:val="ListParagraph"/>
        <w:tabs>
          <w:tab w:val="left" w:pos="806"/>
        </w:tabs>
        <w:spacing w:line="232" w:lineRule="auto"/>
        <w:ind w:firstLine="0"/>
        <w:rPr>
          <w:sz w:val="24"/>
          <w:szCs w:val="24"/>
        </w:rPr>
      </w:pPr>
      <w:r w:rsidRPr="3093337E">
        <w:rPr>
          <w:sz w:val="24"/>
          <w:szCs w:val="24"/>
        </w:rPr>
        <w:t>The third phase (</w:t>
      </w:r>
      <w:proofErr w:type="spellStart"/>
      <w:r w:rsidRPr="3093337E">
        <w:rPr>
          <w:sz w:val="24"/>
          <w:szCs w:val="24"/>
        </w:rPr>
        <w:t>Vistry</w:t>
      </w:r>
      <w:proofErr w:type="spellEnd"/>
      <w:r w:rsidRPr="3093337E">
        <w:rPr>
          <w:sz w:val="24"/>
          <w:szCs w:val="24"/>
        </w:rPr>
        <w:t xml:space="preserve">) is for 434 homes. This phase includes 174 S106 affordable homes; 96 “additional” affordable homes being sold to Places for People; and the retail element. </w:t>
      </w:r>
      <w:proofErr w:type="spellStart"/>
      <w:r w:rsidRPr="3093337E">
        <w:rPr>
          <w:sz w:val="24"/>
          <w:szCs w:val="24"/>
        </w:rPr>
        <w:t>Vistry</w:t>
      </w:r>
      <w:proofErr w:type="spellEnd"/>
      <w:r w:rsidRPr="3093337E">
        <w:rPr>
          <w:sz w:val="24"/>
          <w:szCs w:val="24"/>
        </w:rPr>
        <w:t xml:space="preserve"> are now expecting their show home to complete in the first quarter of 2024 with occupations from quarter two of 2024. </w:t>
      </w:r>
      <w:proofErr w:type="spellStart"/>
      <w:r w:rsidRPr="3093337E">
        <w:rPr>
          <w:sz w:val="24"/>
          <w:szCs w:val="24"/>
        </w:rPr>
        <w:t>Vistry</w:t>
      </w:r>
      <w:proofErr w:type="spellEnd"/>
      <w:r w:rsidRPr="3093337E">
        <w:rPr>
          <w:sz w:val="24"/>
          <w:szCs w:val="24"/>
        </w:rPr>
        <w:t xml:space="preserve"> have reported delays on site of six months from their </w:t>
      </w:r>
      <w:proofErr w:type="spellStart"/>
      <w:r w:rsidRPr="3093337E">
        <w:rPr>
          <w:sz w:val="24"/>
          <w:szCs w:val="24"/>
        </w:rPr>
        <w:t>programme</w:t>
      </w:r>
      <w:proofErr w:type="spellEnd"/>
      <w:r w:rsidRPr="3093337E">
        <w:rPr>
          <w:sz w:val="24"/>
          <w:szCs w:val="24"/>
        </w:rPr>
        <w:t xml:space="preserve"> in January of this year. Their final completions are </w:t>
      </w:r>
      <w:r w:rsidR="421008BB" w:rsidRPr="3093337E">
        <w:rPr>
          <w:sz w:val="24"/>
          <w:szCs w:val="24"/>
        </w:rPr>
        <w:t>still</w:t>
      </w:r>
      <w:r w:rsidRPr="3093337E">
        <w:rPr>
          <w:sz w:val="24"/>
          <w:szCs w:val="24"/>
        </w:rPr>
        <w:t xml:space="preserve"> programmed for</w:t>
      </w:r>
      <w:r w:rsidRPr="3093337E">
        <w:rPr>
          <w:spacing w:val="-19"/>
          <w:sz w:val="24"/>
          <w:szCs w:val="24"/>
        </w:rPr>
        <w:t xml:space="preserve"> </w:t>
      </w:r>
      <w:r w:rsidRPr="3093337E">
        <w:rPr>
          <w:sz w:val="24"/>
          <w:szCs w:val="24"/>
        </w:rPr>
        <w:t>2027.</w:t>
      </w:r>
      <w:r w:rsidR="0D916CD9" w:rsidRPr="3093337E">
        <w:rPr>
          <w:sz w:val="24"/>
          <w:szCs w:val="24"/>
        </w:rPr>
        <w:t xml:space="preserve"> There have been no private sale</w:t>
      </w:r>
      <w:r w:rsidR="1C8C4825" w:rsidRPr="3093337E">
        <w:rPr>
          <w:sz w:val="24"/>
          <w:szCs w:val="24"/>
        </w:rPr>
        <w:t xml:space="preserve"> </w:t>
      </w:r>
      <w:r w:rsidR="30F782E5" w:rsidRPr="3093337E">
        <w:rPr>
          <w:sz w:val="24"/>
          <w:szCs w:val="24"/>
        </w:rPr>
        <w:t>completions</w:t>
      </w:r>
      <w:r w:rsidR="0D916CD9" w:rsidRPr="3093337E">
        <w:rPr>
          <w:sz w:val="24"/>
          <w:szCs w:val="24"/>
        </w:rPr>
        <w:t xml:space="preserve"> in the period</w:t>
      </w:r>
      <w:r w:rsidR="00D24AB6" w:rsidRPr="3093337E">
        <w:rPr>
          <w:sz w:val="24"/>
          <w:szCs w:val="24"/>
        </w:rPr>
        <w:t xml:space="preserve"> to February 2024</w:t>
      </w:r>
      <w:r w:rsidR="0D916CD9" w:rsidRPr="3093337E">
        <w:rPr>
          <w:sz w:val="24"/>
          <w:szCs w:val="24"/>
        </w:rPr>
        <w:t xml:space="preserve">. Places for People have purchased </w:t>
      </w:r>
      <w:r w:rsidR="07AF0897" w:rsidRPr="3093337E">
        <w:rPr>
          <w:sz w:val="24"/>
          <w:szCs w:val="24"/>
        </w:rPr>
        <w:t xml:space="preserve">87 </w:t>
      </w:r>
      <w:r w:rsidR="31E3D5B2" w:rsidRPr="3093337E">
        <w:rPr>
          <w:sz w:val="24"/>
          <w:szCs w:val="24"/>
        </w:rPr>
        <w:t>units. The</w:t>
      </w:r>
      <w:r w:rsidR="6BCC2909" w:rsidRPr="3093337E">
        <w:rPr>
          <w:sz w:val="24"/>
          <w:szCs w:val="24"/>
        </w:rPr>
        <w:t xml:space="preserve"> retail element is now being </w:t>
      </w:r>
      <w:r w:rsidR="4E738317" w:rsidRPr="3093337E">
        <w:rPr>
          <w:sz w:val="24"/>
          <w:szCs w:val="24"/>
        </w:rPr>
        <w:t>constructed</w:t>
      </w:r>
      <w:r w:rsidR="6BCC2909" w:rsidRPr="3093337E">
        <w:rPr>
          <w:sz w:val="24"/>
          <w:szCs w:val="24"/>
        </w:rPr>
        <w:t xml:space="preserve"> and there has been interest in </w:t>
      </w:r>
      <w:r w:rsidR="32A9C53E" w:rsidRPr="3093337E">
        <w:rPr>
          <w:sz w:val="24"/>
          <w:szCs w:val="24"/>
        </w:rPr>
        <w:t>the purchase</w:t>
      </w:r>
      <w:r w:rsidR="6BCC2909" w:rsidRPr="3093337E">
        <w:rPr>
          <w:sz w:val="24"/>
          <w:szCs w:val="24"/>
        </w:rPr>
        <w:t xml:space="preserve"> of a bulk number of </w:t>
      </w:r>
      <w:r w:rsidR="7ED3C6E4" w:rsidRPr="3093337E">
        <w:rPr>
          <w:sz w:val="24"/>
          <w:szCs w:val="24"/>
        </w:rPr>
        <w:t>units. Further</w:t>
      </w:r>
      <w:r w:rsidR="6BCC2909" w:rsidRPr="3093337E">
        <w:rPr>
          <w:sz w:val="24"/>
          <w:szCs w:val="24"/>
        </w:rPr>
        <w:t xml:space="preserve"> information is attached in the confidential </w:t>
      </w:r>
      <w:r w:rsidR="09B03D6B" w:rsidRPr="3093337E">
        <w:rPr>
          <w:sz w:val="24"/>
          <w:szCs w:val="24"/>
        </w:rPr>
        <w:t>appendix.</w:t>
      </w:r>
      <w:r w:rsidR="07AF0897" w:rsidRPr="3093337E">
        <w:rPr>
          <w:sz w:val="24"/>
          <w:szCs w:val="24"/>
        </w:rPr>
        <w:t xml:space="preserve"> </w:t>
      </w:r>
    </w:p>
    <w:p w14:paraId="0A206553" w14:textId="77777777" w:rsidR="00155FA7" w:rsidRDefault="00155FA7" w:rsidP="00155FA7">
      <w:pPr>
        <w:pStyle w:val="ListParagraph"/>
        <w:tabs>
          <w:tab w:val="left" w:pos="806"/>
        </w:tabs>
        <w:spacing w:line="232" w:lineRule="auto"/>
        <w:ind w:firstLine="0"/>
        <w:rPr>
          <w:sz w:val="24"/>
          <w:szCs w:val="24"/>
        </w:rPr>
      </w:pPr>
    </w:p>
    <w:p w14:paraId="24EDFBCC" w14:textId="77777777" w:rsidR="002031CD" w:rsidRDefault="3093337E" w:rsidP="002031CD">
      <w:pPr>
        <w:pStyle w:val="ListParagraph"/>
        <w:tabs>
          <w:tab w:val="left" w:pos="816"/>
        </w:tabs>
        <w:spacing w:line="235" w:lineRule="auto"/>
        <w:ind w:left="816" w:right="109" w:firstLine="0"/>
        <w:rPr>
          <w:sz w:val="24"/>
          <w:szCs w:val="24"/>
        </w:rPr>
      </w:pPr>
      <w:r w:rsidRPr="3093337E">
        <w:rPr>
          <w:sz w:val="24"/>
          <w:szCs w:val="24"/>
        </w:rPr>
        <w:t>After</w:t>
      </w:r>
      <w:r w:rsidRPr="3093337E">
        <w:rPr>
          <w:spacing w:val="-18"/>
          <w:sz w:val="24"/>
          <w:szCs w:val="24"/>
        </w:rPr>
        <w:t xml:space="preserve"> </w:t>
      </w:r>
      <w:r w:rsidRPr="3093337E">
        <w:rPr>
          <w:sz w:val="24"/>
          <w:szCs w:val="24"/>
        </w:rPr>
        <w:t>some</w:t>
      </w:r>
      <w:r w:rsidRPr="3093337E">
        <w:rPr>
          <w:spacing w:val="-17"/>
          <w:sz w:val="24"/>
          <w:szCs w:val="24"/>
        </w:rPr>
        <w:t xml:space="preserve"> </w:t>
      </w:r>
      <w:r w:rsidRPr="3093337E">
        <w:rPr>
          <w:sz w:val="24"/>
          <w:szCs w:val="24"/>
        </w:rPr>
        <w:t>significant</w:t>
      </w:r>
      <w:r w:rsidRPr="3093337E">
        <w:rPr>
          <w:spacing w:val="-20"/>
          <w:sz w:val="24"/>
          <w:szCs w:val="24"/>
        </w:rPr>
        <w:t xml:space="preserve"> </w:t>
      </w:r>
      <w:r w:rsidRPr="3093337E">
        <w:rPr>
          <w:sz w:val="24"/>
          <w:szCs w:val="24"/>
        </w:rPr>
        <w:t>delays</w:t>
      </w:r>
      <w:r w:rsidRPr="3093337E">
        <w:rPr>
          <w:spacing w:val="-18"/>
          <w:sz w:val="24"/>
          <w:szCs w:val="24"/>
        </w:rPr>
        <w:t xml:space="preserve"> </w:t>
      </w:r>
      <w:r w:rsidRPr="3093337E">
        <w:rPr>
          <w:sz w:val="24"/>
          <w:szCs w:val="24"/>
        </w:rPr>
        <w:t>with</w:t>
      </w:r>
      <w:r w:rsidRPr="3093337E">
        <w:rPr>
          <w:spacing w:val="-17"/>
          <w:sz w:val="24"/>
          <w:szCs w:val="24"/>
        </w:rPr>
        <w:t xml:space="preserve"> </w:t>
      </w:r>
      <w:r w:rsidRPr="3093337E">
        <w:rPr>
          <w:sz w:val="24"/>
          <w:szCs w:val="24"/>
        </w:rPr>
        <w:t>Oxfordshire</w:t>
      </w:r>
      <w:r w:rsidRPr="3093337E">
        <w:rPr>
          <w:spacing w:val="-17"/>
          <w:sz w:val="24"/>
          <w:szCs w:val="24"/>
        </w:rPr>
        <w:t xml:space="preserve"> </w:t>
      </w:r>
      <w:r w:rsidRPr="3093337E">
        <w:rPr>
          <w:sz w:val="24"/>
          <w:szCs w:val="24"/>
        </w:rPr>
        <w:t>County</w:t>
      </w:r>
      <w:r w:rsidRPr="3093337E">
        <w:rPr>
          <w:spacing w:val="-18"/>
          <w:sz w:val="24"/>
          <w:szCs w:val="24"/>
        </w:rPr>
        <w:t xml:space="preserve"> </w:t>
      </w:r>
      <w:r w:rsidR="2E3AA549" w:rsidRPr="3093337E">
        <w:rPr>
          <w:sz w:val="24"/>
          <w:szCs w:val="24"/>
        </w:rPr>
        <w:t>Council, the</w:t>
      </w:r>
      <w:r w:rsidR="1F953582" w:rsidRPr="3093337E">
        <w:rPr>
          <w:sz w:val="24"/>
          <w:szCs w:val="24"/>
        </w:rPr>
        <w:t xml:space="preserve"> lega</w:t>
      </w:r>
      <w:r w:rsidR="1F953582" w:rsidRPr="3093337E" w:rsidDel="3093337E">
        <w:rPr>
          <w:sz w:val="24"/>
          <w:szCs w:val="24"/>
        </w:rPr>
        <w:t>l documents for</w:t>
      </w:r>
      <w:r w:rsidR="3310D878" w:rsidRPr="3093337E">
        <w:rPr>
          <w:sz w:val="24"/>
          <w:szCs w:val="24"/>
        </w:rPr>
        <w:t xml:space="preserve"> </w:t>
      </w:r>
      <w:r w:rsidR="16504914" w:rsidRPr="3093337E">
        <w:rPr>
          <w:spacing w:val="-16"/>
          <w:sz w:val="24"/>
          <w:szCs w:val="24"/>
        </w:rPr>
        <w:t xml:space="preserve">the </w:t>
      </w:r>
      <w:r w:rsidR="587AF7B9" w:rsidRPr="3093337E">
        <w:rPr>
          <w:spacing w:val="-16"/>
          <w:sz w:val="24"/>
          <w:szCs w:val="24"/>
        </w:rPr>
        <w:t>Section</w:t>
      </w:r>
      <w:r w:rsidRPr="3093337E">
        <w:rPr>
          <w:sz w:val="24"/>
          <w:szCs w:val="24"/>
        </w:rPr>
        <w:t xml:space="preserve"> 278 Agreement (the legal agreement with Oxfordshire County Council which will see them adopting the junction with the A40) </w:t>
      </w:r>
      <w:r w:rsidR="57F6C597" w:rsidRPr="3B7B2F66">
        <w:rPr>
          <w:sz w:val="24"/>
          <w:szCs w:val="24"/>
        </w:rPr>
        <w:t>have been</w:t>
      </w:r>
      <w:r w:rsidR="5B66B863" w:rsidRPr="3B7B2F66">
        <w:rPr>
          <w:sz w:val="24"/>
          <w:szCs w:val="24"/>
        </w:rPr>
        <w:t xml:space="preserve"> </w:t>
      </w:r>
      <w:r w:rsidR="39776EDC" w:rsidRPr="3093337E">
        <w:rPr>
          <w:sz w:val="24"/>
          <w:szCs w:val="24"/>
        </w:rPr>
        <w:t>agreed.</w:t>
      </w:r>
      <w:r w:rsidR="5B66B863" w:rsidRPr="3B7B2F66">
        <w:rPr>
          <w:sz w:val="24"/>
          <w:szCs w:val="24"/>
        </w:rPr>
        <w:t xml:space="preserve"> </w:t>
      </w:r>
      <w:r w:rsidR="10694C09" w:rsidRPr="3093337E" w:rsidDel="3093337E">
        <w:rPr>
          <w:sz w:val="24"/>
          <w:szCs w:val="24"/>
        </w:rPr>
        <w:t>However,</w:t>
      </w:r>
      <w:r w:rsidR="5B66B863" w:rsidRPr="3B7B2F66">
        <w:rPr>
          <w:sz w:val="24"/>
          <w:szCs w:val="24"/>
        </w:rPr>
        <w:t xml:space="preserve"> at the final inspection 2 lamp posts </w:t>
      </w:r>
      <w:r w:rsidR="4B40585D" w:rsidRPr="3093337E" w:rsidDel="3093337E">
        <w:rPr>
          <w:sz w:val="24"/>
          <w:szCs w:val="24"/>
        </w:rPr>
        <w:t>were</w:t>
      </w:r>
      <w:r w:rsidR="5B66B863" w:rsidRPr="3093337E">
        <w:rPr>
          <w:sz w:val="24"/>
          <w:szCs w:val="24"/>
        </w:rPr>
        <w:t xml:space="preserve"> </w:t>
      </w:r>
      <w:r w:rsidR="03ED8FB0" w:rsidRPr="3093337E">
        <w:rPr>
          <w:sz w:val="24"/>
          <w:szCs w:val="24"/>
        </w:rPr>
        <w:t xml:space="preserve">seen to be </w:t>
      </w:r>
      <w:r w:rsidR="5B66B863" w:rsidRPr="3093337E">
        <w:rPr>
          <w:sz w:val="24"/>
          <w:szCs w:val="24"/>
        </w:rPr>
        <w:t xml:space="preserve">damaged </w:t>
      </w:r>
      <w:r w:rsidR="5B66B863" w:rsidRPr="3B7B2F66">
        <w:rPr>
          <w:sz w:val="24"/>
          <w:szCs w:val="24"/>
        </w:rPr>
        <w:t>and these need to be replaced</w:t>
      </w:r>
      <w:r w:rsidR="08416D7E" w:rsidRPr="3B7B2F66">
        <w:rPr>
          <w:sz w:val="24"/>
          <w:szCs w:val="24"/>
        </w:rPr>
        <w:t xml:space="preserve"> before</w:t>
      </w:r>
      <w:r w:rsidR="6EC7BAEF" w:rsidRPr="3B7B2F66">
        <w:rPr>
          <w:sz w:val="24"/>
          <w:szCs w:val="24"/>
        </w:rPr>
        <w:t xml:space="preserve"> </w:t>
      </w:r>
      <w:r w:rsidR="4695369A" w:rsidRPr="3B7B2F66">
        <w:rPr>
          <w:sz w:val="24"/>
          <w:szCs w:val="24"/>
        </w:rPr>
        <w:t>completion</w:t>
      </w:r>
      <w:r w:rsidR="6EC7BAEF" w:rsidRPr="3B7B2F66">
        <w:rPr>
          <w:sz w:val="24"/>
          <w:szCs w:val="24"/>
        </w:rPr>
        <w:t xml:space="preserve"> and adoption.</w:t>
      </w:r>
      <w:r w:rsidR="5B66B863" w:rsidRPr="3093337E" w:rsidDel="3093337E">
        <w:rPr>
          <w:sz w:val="24"/>
          <w:szCs w:val="24"/>
        </w:rPr>
        <w:t xml:space="preserve"> </w:t>
      </w:r>
      <w:r w:rsidR="3725F6E8" w:rsidRPr="3B7B2F66">
        <w:rPr>
          <w:sz w:val="24"/>
          <w:szCs w:val="24"/>
        </w:rPr>
        <w:t>This may take some time as there a</w:t>
      </w:r>
      <w:r w:rsidR="0A47B2F6" w:rsidRPr="3B7B2F66">
        <w:rPr>
          <w:sz w:val="24"/>
          <w:szCs w:val="24"/>
        </w:rPr>
        <w:t>r</w:t>
      </w:r>
      <w:r w:rsidR="3725F6E8" w:rsidRPr="3B7B2F66">
        <w:rPr>
          <w:sz w:val="24"/>
          <w:szCs w:val="24"/>
        </w:rPr>
        <w:t xml:space="preserve">e few contractors able to </w:t>
      </w:r>
      <w:r w:rsidR="159E6069" w:rsidRPr="3093337E">
        <w:rPr>
          <w:sz w:val="24"/>
          <w:szCs w:val="24"/>
        </w:rPr>
        <w:t>carry</w:t>
      </w:r>
      <w:r w:rsidR="00DF2E65">
        <w:rPr>
          <w:sz w:val="24"/>
          <w:szCs w:val="24"/>
        </w:rPr>
        <w:t xml:space="preserve"> </w:t>
      </w:r>
      <w:r w:rsidR="3725F6E8" w:rsidRPr="3093337E">
        <w:rPr>
          <w:sz w:val="24"/>
          <w:szCs w:val="24"/>
        </w:rPr>
        <w:t xml:space="preserve">out the </w:t>
      </w:r>
      <w:r w:rsidR="7A11F651" w:rsidRPr="3093337E">
        <w:rPr>
          <w:sz w:val="24"/>
          <w:szCs w:val="24"/>
        </w:rPr>
        <w:t>work</w:t>
      </w:r>
      <w:r w:rsidR="002031CD">
        <w:rPr>
          <w:sz w:val="24"/>
          <w:szCs w:val="24"/>
        </w:rPr>
        <w:t>.</w:t>
      </w:r>
    </w:p>
    <w:p w14:paraId="64C760F2" w14:textId="77777777" w:rsidR="002031CD" w:rsidRPr="002031CD" w:rsidRDefault="002031CD" w:rsidP="002031CD">
      <w:pPr>
        <w:tabs>
          <w:tab w:val="left" w:pos="816"/>
        </w:tabs>
        <w:spacing w:line="235" w:lineRule="auto"/>
        <w:ind w:right="109"/>
        <w:rPr>
          <w:sz w:val="24"/>
          <w:szCs w:val="24"/>
        </w:rPr>
      </w:pPr>
    </w:p>
    <w:p w14:paraId="5CCF48CE" w14:textId="2367D03D" w:rsidR="002031CD" w:rsidRDefault="002031CD" w:rsidP="002031CD">
      <w:pPr>
        <w:pStyle w:val="BodyText"/>
        <w:spacing w:before="77" w:line="232" w:lineRule="auto"/>
        <w:ind w:left="816" w:right="109"/>
        <w:jc w:val="both"/>
      </w:pPr>
      <w:r>
        <w:t>The adoption of the remainder of the roads is dependent on the completion of all the houses fronting them.</w:t>
      </w:r>
      <w:r>
        <w:rPr>
          <w:spacing w:val="-13"/>
        </w:rPr>
        <w:t xml:space="preserve"> </w:t>
      </w:r>
      <w:r>
        <w:t>Until</w:t>
      </w:r>
      <w:r>
        <w:rPr>
          <w:spacing w:val="-10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point,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LLP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remain</w:t>
      </w:r>
      <w:r>
        <w:rPr>
          <w:spacing w:val="-10"/>
        </w:rPr>
        <w:t xml:space="preserve"> </w:t>
      </w:r>
      <w:r>
        <w:t>liable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phase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roads.</w:t>
      </w:r>
    </w:p>
    <w:p w14:paraId="3CF2D8B6" w14:textId="468B175F" w:rsidR="00F51AB2" w:rsidRDefault="00F51AB2" w:rsidP="008410E7">
      <w:pPr>
        <w:pStyle w:val="BodyText"/>
        <w:spacing w:before="77" w:line="232" w:lineRule="auto"/>
        <w:ind w:right="120"/>
      </w:pPr>
    </w:p>
    <w:p w14:paraId="26617BFE" w14:textId="77777777" w:rsidR="00F51AB2" w:rsidRDefault="3B7B2F66">
      <w:pPr>
        <w:pStyle w:val="Heading1"/>
        <w:spacing w:before="149"/>
      </w:pPr>
      <w:r>
        <w:t>Community Employment Plan</w:t>
      </w:r>
    </w:p>
    <w:p w14:paraId="0FB78278" w14:textId="6615AA4F" w:rsidR="00F51AB2" w:rsidRDefault="646D01C9" w:rsidP="3B7B2F66">
      <w:pPr>
        <w:pStyle w:val="ListParagraph"/>
        <w:numPr>
          <w:ilvl w:val="0"/>
          <w:numId w:val="1"/>
        </w:numPr>
        <w:tabs>
          <w:tab w:val="left" w:pos="826"/>
        </w:tabs>
        <w:spacing w:before="115" w:line="232" w:lineRule="auto"/>
        <w:ind w:left="826" w:right="188"/>
        <w:rPr>
          <w:sz w:val="24"/>
          <w:szCs w:val="24"/>
        </w:rPr>
        <w:sectPr w:rsidR="00F51AB2">
          <w:pgSz w:w="11910" w:h="16840"/>
          <w:pgMar w:top="1340" w:right="1580" w:bottom="280" w:left="1200" w:header="720" w:footer="720" w:gutter="0"/>
          <w:cols w:space="720"/>
        </w:sectPr>
      </w:pPr>
      <w:r w:rsidRPr="3093337E">
        <w:rPr>
          <w:sz w:val="24"/>
          <w:szCs w:val="24"/>
        </w:rPr>
        <w:t xml:space="preserve">Due to changes in ownership both </w:t>
      </w:r>
      <w:proofErr w:type="spellStart"/>
      <w:r w:rsidRPr="3093337E">
        <w:rPr>
          <w:sz w:val="24"/>
          <w:szCs w:val="24"/>
        </w:rPr>
        <w:t>Redrow</w:t>
      </w:r>
      <w:proofErr w:type="spellEnd"/>
      <w:r w:rsidRPr="3093337E">
        <w:rPr>
          <w:sz w:val="24"/>
          <w:szCs w:val="24"/>
        </w:rPr>
        <w:t xml:space="preserve"> and </w:t>
      </w:r>
      <w:proofErr w:type="spellStart"/>
      <w:r w:rsidRPr="3093337E">
        <w:rPr>
          <w:sz w:val="24"/>
          <w:szCs w:val="24"/>
        </w:rPr>
        <w:t>Vistry</w:t>
      </w:r>
      <w:proofErr w:type="spellEnd"/>
      <w:r w:rsidRPr="3093337E">
        <w:rPr>
          <w:sz w:val="24"/>
          <w:szCs w:val="24"/>
        </w:rPr>
        <w:t xml:space="preserve"> have failed to </w:t>
      </w:r>
      <w:r w:rsidR="3AAE3742" w:rsidRPr="3093337E">
        <w:rPr>
          <w:sz w:val="24"/>
          <w:szCs w:val="24"/>
        </w:rPr>
        <w:t>meaningfully</w:t>
      </w:r>
      <w:r w:rsidRPr="3093337E">
        <w:rPr>
          <w:sz w:val="24"/>
          <w:szCs w:val="24"/>
        </w:rPr>
        <w:t xml:space="preserve"> </w:t>
      </w:r>
      <w:r w:rsidR="3447A0DE" w:rsidRPr="3093337E">
        <w:rPr>
          <w:sz w:val="24"/>
          <w:szCs w:val="24"/>
        </w:rPr>
        <w:t>engage.</w:t>
      </w:r>
      <w:r w:rsidRPr="3093337E">
        <w:rPr>
          <w:sz w:val="24"/>
          <w:szCs w:val="24"/>
        </w:rPr>
        <w:t xml:space="preserve"> Over the next quarter this will be a focus for attention by the LLP </w:t>
      </w:r>
    </w:p>
    <w:p w14:paraId="584DA431" w14:textId="77777777" w:rsidR="00F51AB2" w:rsidRDefault="00D35D23">
      <w:pPr>
        <w:pStyle w:val="Heading1"/>
        <w:spacing w:before="75"/>
      </w:pPr>
      <w:r>
        <w:lastRenderedPageBreak/>
        <w:t>Community and events</w:t>
      </w:r>
    </w:p>
    <w:p w14:paraId="1FC39945" w14:textId="2FA91FC0" w:rsidR="00F51AB2" w:rsidRDefault="3093337E" w:rsidP="3B7B2F66">
      <w:pPr>
        <w:pStyle w:val="ListParagraph"/>
        <w:numPr>
          <w:ilvl w:val="0"/>
          <w:numId w:val="1"/>
        </w:numPr>
        <w:tabs>
          <w:tab w:val="left" w:pos="826"/>
        </w:tabs>
        <w:spacing w:before="115" w:line="232" w:lineRule="auto"/>
        <w:ind w:left="826" w:right="234"/>
        <w:rPr>
          <w:sz w:val="24"/>
          <w:szCs w:val="24"/>
        </w:rPr>
      </w:pPr>
      <w:r w:rsidRPr="3093337E">
        <w:rPr>
          <w:sz w:val="24"/>
          <w:szCs w:val="24"/>
        </w:rPr>
        <w:t xml:space="preserve">BICEP meetings </w:t>
      </w:r>
      <w:proofErr w:type="gramStart"/>
      <w:r w:rsidRPr="3093337E">
        <w:rPr>
          <w:sz w:val="24"/>
          <w:szCs w:val="24"/>
        </w:rPr>
        <w:t>continue on</w:t>
      </w:r>
      <w:proofErr w:type="gramEnd"/>
      <w:r w:rsidRPr="3093337E">
        <w:rPr>
          <w:sz w:val="24"/>
          <w:szCs w:val="24"/>
        </w:rPr>
        <w:t xml:space="preserve"> a quarterly </w:t>
      </w:r>
      <w:r w:rsidR="72EC860F" w:rsidRPr="3093337E">
        <w:rPr>
          <w:sz w:val="24"/>
          <w:szCs w:val="24"/>
        </w:rPr>
        <w:t>basis, the</w:t>
      </w:r>
      <w:r w:rsidR="096DC6CF" w:rsidRPr="3093337E">
        <w:rPr>
          <w:sz w:val="24"/>
          <w:szCs w:val="24"/>
        </w:rPr>
        <w:t xml:space="preserve"> last being on Feb 22nd</w:t>
      </w:r>
      <w:r w:rsidRPr="3093337E">
        <w:rPr>
          <w:sz w:val="24"/>
          <w:szCs w:val="24"/>
        </w:rPr>
        <w:t>.</w:t>
      </w:r>
      <w:r w:rsidR="5C4EBF75" w:rsidRPr="3093337E">
        <w:rPr>
          <w:sz w:val="24"/>
          <w:szCs w:val="24"/>
        </w:rPr>
        <w:t xml:space="preserve"> </w:t>
      </w:r>
      <w:r w:rsidR="00D35D23" w:rsidRPr="3093337E">
        <w:rPr>
          <w:sz w:val="24"/>
          <w:szCs w:val="24"/>
        </w:rPr>
        <w:t>The tone</w:t>
      </w:r>
      <w:r w:rsidR="1B921CFB" w:rsidRPr="3093337E">
        <w:rPr>
          <w:sz w:val="24"/>
          <w:szCs w:val="24"/>
        </w:rPr>
        <w:t xml:space="preserve"> of this meeting was positive</w:t>
      </w:r>
      <w:r w:rsidR="00D35D23">
        <w:rPr>
          <w:sz w:val="24"/>
          <w:szCs w:val="24"/>
        </w:rPr>
        <w:t xml:space="preserve">. </w:t>
      </w:r>
      <w:r w:rsidR="5A48837C" w:rsidRPr="3093337E">
        <w:rPr>
          <w:sz w:val="24"/>
          <w:szCs w:val="24"/>
        </w:rPr>
        <w:t xml:space="preserve">This meeting has been expanded with both the school and </w:t>
      </w:r>
      <w:proofErr w:type="spellStart"/>
      <w:r w:rsidR="5A48837C" w:rsidRPr="3093337E">
        <w:rPr>
          <w:sz w:val="24"/>
          <w:szCs w:val="24"/>
        </w:rPr>
        <w:t>Hedena</w:t>
      </w:r>
      <w:proofErr w:type="spellEnd"/>
      <w:r w:rsidR="5A48837C" w:rsidRPr="3093337E">
        <w:rPr>
          <w:sz w:val="24"/>
          <w:szCs w:val="24"/>
        </w:rPr>
        <w:t xml:space="preserve"> Health represented. The school reported that they will hit capac</w:t>
      </w:r>
      <w:r w:rsidR="06335F10" w:rsidRPr="3093337E">
        <w:rPr>
          <w:sz w:val="24"/>
          <w:szCs w:val="24"/>
        </w:rPr>
        <w:t xml:space="preserve">ity this year and expressed concern relating to speeding on the </w:t>
      </w:r>
      <w:r w:rsidR="7A6E968B" w:rsidRPr="3093337E">
        <w:rPr>
          <w:sz w:val="24"/>
          <w:szCs w:val="24"/>
        </w:rPr>
        <w:t xml:space="preserve">estate. </w:t>
      </w:r>
      <w:r w:rsidR="6294239A" w:rsidRPr="3093337E">
        <w:rPr>
          <w:sz w:val="24"/>
          <w:szCs w:val="24"/>
        </w:rPr>
        <w:t>To</w:t>
      </w:r>
      <w:r w:rsidR="06335F10" w:rsidRPr="3093337E">
        <w:rPr>
          <w:sz w:val="24"/>
          <w:szCs w:val="24"/>
        </w:rPr>
        <w:t xml:space="preserve"> combat this</w:t>
      </w:r>
      <w:r w:rsidR="40A8926F" w:rsidRPr="3093337E">
        <w:rPr>
          <w:sz w:val="24"/>
          <w:szCs w:val="24"/>
        </w:rPr>
        <w:t>,</w:t>
      </w:r>
      <w:r w:rsidR="06335F10" w:rsidRPr="3093337E">
        <w:rPr>
          <w:sz w:val="24"/>
          <w:szCs w:val="24"/>
        </w:rPr>
        <w:t xml:space="preserve"> 20MPH signs will be erected and o</w:t>
      </w:r>
      <w:r w:rsidR="0C99F574" w:rsidRPr="3093337E">
        <w:rPr>
          <w:sz w:val="24"/>
          <w:szCs w:val="24"/>
        </w:rPr>
        <w:t xml:space="preserve">nce development </w:t>
      </w:r>
      <w:r w:rsidR="7D3E7A7C" w:rsidRPr="3093337E">
        <w:rPr>
          <w:sz w:val="24"/>
          <w:szCs w:val="24"/>
        </w:rPr>
        <w:t xml:space="preserve">is compete fronting the roads it is expected that traffic will be slowed by the </w:t>
      </w:r>
      <w:r w:rsidR="00D35D23" w:rsidRPr="3093337E">
        <w:rPr>
          <w:sz w:val="24"/>
          <w:szCs w:val="24"/>
        </w:rPr>
        <w:t>built-up</w:t>
      </w:r>
      <w:r w:rsidR="7D3E7A7C" w:rsidRPr="3093337E">
        <w:rPr>
          <w:sz w:val="24"/>
          <w:szCs w:val="24"/>
        </w:rPr>
        <w:t xml:space="preserve"> environment.</w:t>
      </w:r>
      <w:r w:rsidR="00D35D23">
        <w:rPr>
          <w:sz w:val="24"/>
          <w:szCs w:val="24"/>
        </w:rPr>
        <w:t xml:space="preserve"> </w:t>
      </w:r>
      <w:r w:rsidRPr="3093337E">
        <w:rPr>
          <w:sz w:val="24"/>
          <w:szCs w:val="24"/>
        </w:rPr>
        <w:t xml:space="preserve">The </w:t>
      </w:r>
      <w:r w:rsidR="11FF57F2" w:rsidRPr="3093337E">
        <w:rPr>
          <w:sz w:val="24"/>
          <w:szCs w:val="24"/>
        </w:rPr>
        <w:t>Football Club reported an increase in the number of teams playing and a new lack of capacity for 11 aside.</w:t>
      </w:r>
      <w:r w:rsidR="00D35D23">
        <w:rPr>
          <w:sz w:val="24"/>
          <w:szCs w:val="24"/>
        </w:rPr>
        <w:t xml:space="preserve"> </w:t>
      </w:r>
      <w:r w:rsidR="11FF57F2" w:rsidRPr="3093337E">
        <w:rPr>
          <w:sz w:val="24"/>
          <w:szCs w:val="24"/>
        </w:rPr>
        <w:t>Talks are being he</w:t>
      </w:r>
      <w:r w:rsidR="3F7A1221" w:rsidRPr="3093337E">
        <w:rPr>
          <w:sz w:val="24"/>
          <w:szCs w:val="24"/>
        </w:rPr>
        <w:t xml:space="preserve">ld with the developers of Bayswater Brook regarding funding a new pitch away from </w:t>
      </w:r>
      <w:r w:rsidR="3DDA65E7" w:rsidRPr="3093337E">
        <w:rPr>
          <w:sz w:val="24"/>
          <w:szCs w:val="24"/>
        </w:rPr>
        <w:t>Barton Park</w:t>
      </w:r>
      <w:r w:rsidR="3F7A1221" w:rsidRPr="3093337E">
        <w:rPr>
          <w:sz w:val="24"/>
          <w:szCs w:val="24"/>
        </w:rPr>
        <w:t xml:space="preserve"> and with </w:t>
      </w:r>
      <w:proofErr w:type="spellStart"/>
      <w:r w:rsidR="3F7A1221" w:rsidRPr="3093337E">
        <w:rPr>
          <w:sz w:val="24"/>
          <w:szCs w:val="24"/>
        </w:rPr>
        <w:t>Bayard</w:t>
      </w:r>
      <w:r w:rsidR="570AD387" w:rsidRPr="3093337E">
        <w:rPr>
          <w:sz w:val="24"/>
          <w:szCs w:val="24"/>
        </w:rPr>
        <w:t>s</w:t>
      </w:r>
      <w:proofErr w:type="spellEnd"/>
      <w:r w:rsidR="570AD387" w:rsidRPr="3093337E">
        <w:rPr>
          <w:sz w:val="24"/>
          <w:szCs w:val="24"/>
        </w:rPr>
        <w:t xml:space="preserve"> School to use facilities there.</w:t>
      </w:r>
    </w:p>
    <w:p w14:paraId="5E2FBC1C" w14:textId="77777777" w:rsidR="00F51AB2" w:rsidRDefault="00D35D23">
      <w:pPr>
        <w:pStyle w:val="Heading1"/>
        <w:spacing w:before="206"/>
      </w:pPr>
      <w:r>
        <w:t>Publicity</w:t>
      </w:r>
    </w:p>
    <w:p w14:paraId="0562CB0E" w14:textId="2B608606" w:rsidR="00F51AB2" w:rsidRDefault="0DAE3F2E" w:rsidP="3B7B2F66">
      <w:pPr>
        <w:pStyle w:val="ListParagraph"/>
        <w:numPr>
          <w:ilvl w:val="0"/>
          <w:numId w:val="1"/>
        </w:numPr>
        <w:tabs>
          <w:tab w:val="left" w:pos="826"/>
        </w:tabs>
        <w:spacing w:before="115" w:line="232" w:lineRule="auto"/>
        <w:ind w:left="826" w:right="227"/>
        <w:rPr>
          <w:sz w:val="24"/>
          <w:szCs w:val="24"/>
        </w:rPr>
      </w:pPr>
      <w:r w:rsidRPr="3093337E">
        <w:rPr>
          <w:sz w:val="24"/>
          <w:szCs w:val="24"/>
        </w:rPr>
        <w:t>Since the last meeting comms have been released regarding the proportion of affordable homes being above 50%.</w:t>
      </w:r>
    </w:p>
    <w:p w14:paraId="0883605D" w14:textId="77777777" w:rsidR="00F51AB2" w:rsidRDefault="00D35D23">
      <w:pPr>
        <w:pStyle w:val="Heading1"/>
        <w:spacing w:before="201"/>
      </w:pPr>
      <w:r>
        <w:t>Financial Implications</w:t>
      </w:r>
    </w:p>
    <w:p w14:paraId="7F215BE1" w14:textId="77777777" w:rsidR="00F51AB2" w:rsidRDefault="3093337E">
      <w:pPr>
        <w:pStyle w:val="ListParagraph"/>
        <w:numPr>
          <w:ilvl w:val="0"/>
          <w:numId w:val="1"/>
        </w:numPr>
        <w:tabs>
          <w:tab w:val="left" w:pos="826"/>
        </w:tabs>
        <w:spacing w:before="113"/>
        <w:ind w:left="826" w:right="0"/>
        <w:rPr>
          <w:sz w:val="24"/>
        </w:rPr>
      </w:pPr>
      <w:r w:rsidRPr="3093337E">
        <w:rPr>
          <w:sz w:val="24"/>
          <w:szCs w:val="24"/>
        </w:rPr>
        <w:t>There are no new financial implications arising directly from this</w:t>
      </w:r>
      <w:r w:rsidRPr="3093337E">
        <w:rPr>
          <w:spacing w:val="-27"/>
          <w:sz w:val="24"/>
          <w:szCs w:val="24"/>
        </w:rPr>
        <w:t xml:space="preserve"> </w:t>
      </w:r>
      <w:r w:rsidRPr="3093337E">
        <w:rPr>
          <w:sz w:val="24"/>
          <w:szCs w:val="24"/>
        </w:rPr>
        <w:t>report.</w:t>
      </w:r>
    </w:p>
    <w:p w14:paraId="34CE0A41" w14:textId="77777777" w:rsidR="00F51AB2" w:rsidRDefault="00F51AB2">
      <w:pPr>
        <w:pStyle w:val="BodyText"/>
        <w:rPr>
          <w:sz w:val="26"/>
        </w:rPr>
      </w:pPr>
    </w:p>
    <w:p w14:paraId="21E8309D" w14:textId="77777777" w:rsidR="00F51AB2" w:rsidRDefault="00D35D23">
      <w:pPr>
        <w:pStyle w:val="Heading1"/>
        <w:spacing w:before="200"/>
      </w:pPr>
      <w:r>
        <w:t>Legal Implications</w:t>
      </w:r>
    </w:p>
    <w:p w14:paraId="727070C0" w14:textId="77777777" w:rsidR="00F51AB2" w:rsidRDefault="3093337E">
      <w:pPr>
        <w:pStyle w:val="ListParagraph"/>
        <w:numPr>
          <w:ilvl w:val="0"/>
          <w:numId w:val="1"/>
        </w:numPr>
        <w:tabs>
          <w:tab w:val="left" w:pos="826"/>
        </w:tabs>
        <w:spacing w:before="114"/>
        <w:ind w:left="826" w:right="0"/>
        <w:rPr>
          <w:sz w:val="24"/>
        </w:rPr>
      </w:pPr>
      <w:r w:rsidRPr="3093337E">
        <w:rPr>
          <w:sz w:val="24"/>
          <w:szCs w:val="24"/>
        </w:rPr>
        <w:t>There are no legal implications arising directly from this</w:t>
      </w:r>
      <w:r w:rsidRPr="3093337E">
        <w:rPr>
          <w:spacing w:val="-29"/>
          <w:sz w:val="24"/>
          <w:szCs w:val="24"/>
        </w:rPr>
        <w:t xml:space="preserve"> </w:t>
      </w:r>
      <w:r w:rsidRPr="3093337E">
        <w:rPr>
          <w:sz w:val="24"/>
          <w:szCs w:val="24"/>
        </w:rPr>
        <w:t>report.</w:t>
      </w:r>
    </w:p>
    <w:p w14:paraId="62EBF3C5" w14:textId="77777777" w:rsidR="00F51AB2" w:rsidRDefault="00F51AB2">
      <w:pPr>
        <w:pStyle w:val="BodyText"/>
        <w:rPr>
          <w:sz w:val="20"/>
        </w:rPr>
      </w:pPr>
    </w:p>
    <w:p w14:paraId="6D98A12B" w14:textId="77777777" w:rsidR="00F51AB2" w:rsidRDefault="00F51AB2">
      <w:pPr>
        <w:pStyle w:val="BodyText"/>
        <w:spacing w:before="4"/>
        <w:rPr>
          <w:sz w:val="13"/>
        </w:rPr>
      </w:pPr>
    </w:p>
    <w:tbl>
      <w:tblPr>
        <w:tblW w:w="0" w:type="auto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3"/>
        <w:gridCol w:w="5065"/>
      </w:tblGrid>
      <w:tr w:rsidR="00F51AB2" w14:paraId="33B48C62" w14:textId="77777777" w:rsidTr="008410E7">
        <w:trPr>
          <w:trHeight w:hRule="exact" w:val="346"/>
        </w:trPr>
        <w:tc>
          <w:tcPr>
            <w:tcW w:w="3363" w:type="dxa"/>
            <w:tcBorders>
              <w:right w:val="nil"/>
            </w:tcBorders>
          </w:tcPr>
          <w:p w14:paraId="73198060" w14:textId="77777777" w:rsidR="00F51AB2" w:rsidRDefault="00D35D2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Report author</w:t>
            </w:r>
          </w:p>
        </w:tc>
        <w:tc>
          <w:tcPr>
            <w:tcW w:w="5065" w:type="dxa"/>
            <w:tcBorders>
              <w:left w:val="nil"/>
            </w:tcBorders>
          </w:tcPr>
          <w:p w14:paraId="3EEAD493" w14:textId="7A9CEADD" w:rsidR="00F51AB2" w:rsidRDefault="60B7B720" w:rsidP="3B7B2F66">
            <w:pPr>
              <w:pStyle w:val="TableParagraph"/>
              <w:ind w:left="486"/>
              <w:rPr>
                <w:sz w:val="24"/>
                <w:szCs w:val="24"/>
              </w:rPr>
            </w:pPr>
            <w:r w:rsidRPr="3B7B2F66">
              <w:rPr>
                <w:sz w:val="24"/>
                <w:szCs w:val="24"/>
              </w:rPr>
              <w:t xml:space="preserve">Jane Winfield </w:t>
            </w:r>
          </w:p>
        </w:tc>
      </w:tr>
      <w:tr w:rsidR="00F51AB2" w14:paraId="0C9318BD" w14:textId="77777777" w:rsidTr="008410E7">
        <w:trPr>
          <w:trHeight w:hRule="exact" w:val="467"/>
        </w:trPr>
        <w:tc>
          <w:tcPr>
            <w:tcW w:w="3363" w:type="dxa"/>
            <w:tcBorders>
              <w:bottom w:val="single" w:sz="4" w:space="0" w:color="000000" w:themeColor="text1"/>
              <w:right w:val="nil"/>
            </w:tcBorders>
          </w:tcPr>
          <w:p w14:paraId="5F4D2911" w14:textId="77777777" w:rsidR="00F51AB2" w:rsidRDefault="00D35D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Job title</w:t>
            </w:r>
          </w:p>
        </w:tc>
        <w:tc>
          <w:tcPr>
            <w:tcW w:w="5065" w:type="dxa"/>
            <w:tcBorders>
              <w:left w:val="nil"/>
              <w:bottom w:val="single" w:sz="4" w:space="0" w:color="000000" w:themeColor="text1"/>
            </w:tcBorders>
          </w:tcPr>
          <w:p w14:paraId="10164EA8" w14:textId="0599F656" w:rsidR="00F51AB2" w:rsidRDefault="3B7B2F66" w:rsidP="3B7B2F66">
            <w:pPr>
              <w:pStyle w:val="TableParagraph"/>
              <w:ind w:left="486"/>
              <w:rPr>
                <w:sz w:val="24"/>
                <w:szCs w:val="24"/>
              </w:rPr>
            </w:pPr>
            <w:r w:rsidRPr="3B7B2F66">
              <w:rPr>
                <w:sz w:val="24"/>
                <w:szCs w:val="24"/>
              </w:rPr>
              <w:t xml:space="preserve">Head of </w:t>
            </w:r>
            <w:r w:rsidR="3B43E32F" w:rsidRPr="3B7B2F66">
              <w:rPr>
                <w:sz w:val="24"/>
                <w:szCs w:val="24"/>
              </w:rPr>
              <w:t>Corporate Property</w:t>
            </w:r>
          </w:p>
        </w:tc>
      </w:tr>
      <w:tr w:rsidR="00F51AB2" w14:paraId="69C5C9D2" w14:textId="77777777" w:rsidTr="008410E7">
        <w:trPr>
          <w:trHeight w:hRule="exact" w:val="455"/>
        </w:trPr>
        <w:tc>
          <w:tcPr>
            <w:tcW w:w="3363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3A2E07F" w14:textId="77777777" w:rsidR="00F51AB2" w:rsidRDefault="00D35D2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Service area or department</w:t>
            </w:r>
          </w:p>
        </w:tc>
        <w:tc>
          <w:tcPr>
            <w:tcW w:w="506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14:paraId="068302AA" w14:textId="3E26FF61" w:rsidR="00F51AB2" w:rsidRDefault="7367482A" w:rsidP="3B7B2F66">
            <w:pPr>
              <w:pStyle w:val="TableParagraph"/>
              <w:spacing w:line="266" w:lineRule="exact"/>
              <w:ind w:left="486"/>
              <w:rPr>
                <w:sz w:val="24"/>
                <w:szCs w:val="24"/>
              </w:rPr>
            </w:pPr>
            <w:r w:rsidRPr="3B7B2F66">
              <w:rPr>
                <w:sz w:val="24"/>
                <w:szCs w:val="24"/>
              </w:rPr>
              <w:t>Corporate Property</w:t>
            </w:r>
          </w:p>
        </w:tc>
      </w:tr>
      <w:tr w:rsidR="00F51AB2" w14:paraId="60CFB7ED" w14:textId="77777777" w:rsidTr="008410E7">
        <w:trPr>
          <w:trHeight w:hRule="exact" w:val="413"/>
        </w:trPr>
        <w:tc>
          <w:tcPr>
            <w:tcW w:w="3363" w:type="dxa"/>
            <w:tcBorders>
              <w:top w:val="single" w:sz="4" w:space="0" w:color="000000" w:themeColor="text1"/>
              <w:right w:val="nil"/>
            </w:tcBorders>
          </w:tcPr>
          <w:p w14:paraId="322B2265" w14:textId="77777777" w:rsidR="00F51AB2" w:rsidRDefault="00D35D2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</w:tc>
        <w:tc>
          <w:tcPr>
            <w:tcW w:w="5065" w:type="dxa"/>
            <w:tcBorders>
              <w:top w:val="single" w:sz="4" w:space="0" w:color="000000" w:themeColor="text1"/>
              <w:left w:val="nil"/>
            </w:tcBorders>
          </w:tcPr>
          <w:p w14:paraId="49851F2B" w14:textId="36EE4D5E" w:rsidR="00F51AB2" w:rsidRDefault="3BD557E2" w:rsidP="3B7B2F66">
            <w:pPr>
              <w:pStyle w:val="TableParagraph"/>
              <w:spacing w:line="266" w:lineRule="exact"/>
              <w:ind w:left="486"/>
              <w:rPr>
                <w:sz w:val="24"/>
                <w:szCs w:val="24"/>
              </w:rPr>
            </w:pPr>
            <w:r w:rsidRPr="13D3492A">
              <w:rPr>
                <w:sz w:val="24"/>
                <w:szCs w:val="24"/>
              </w:rPr>
              <w:t>07796147922</w:t>
            </w:r>
          </w:p>
        </w:tc>
      </w:tr>
      <w:tr w:rsidR="00F51AB2" w14:paraId="2DDCD8AC" w14:textId="77777777" w:rsidTr="008410E7">
        <w:trPr>
          <w:trHeight w:hRule="exact" w:val="470"/>
        </w:trPr>
        <w:tc>
          <w:tcPr>
            <w:tcW w:w="3363" w:type="dxa"/>
            <w:tcBorders>
              <w:bottom w:val="single" w:sz="4" w:space="0" w:color="000000" w:themeColor="text1"/>
              <w:right w:val="nil"/>
            </w:tcBorders>
          </w:tcPr>
          <w:p w14:paraId="4B54A013" w14:textId="77777777" w:rsidR="00F51AB2" w:rsidRDefault="00D35D2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065" w:type="dxa"/>
            <w:tcBorders>
              <w:left w:val="nil"/>
              <w:bottom w:val="single" w:sz="4" w:space="0" w:color="000000" w:themeColor="text1"/>
            </w:tcBorders>
          </w:tcPr>
          <w:p w14:paraId="0AF78A4A" w14:textId="1BE26A13" w:rsidR="00F51AB2" w:rsidRDefault="35B55DC5" w:rsidP="3B7B2F66">
            <w:pPr>
              <w:pStyle w:val="TableParagraph"/>
              <w:spacing w:line="266" w:lineRule="exact"/>
              <w:ind w:left="486"/>
              <w:rPr>
                <w:sz w:val="24"/>
                <w:szCs w:val="24"/>
              </w:rPr>
            </w:pPr>
            <w:r w:rsidRPr="3B7B2F66">
              <w:rPr>
                <w:color w:val="0000FF"/>
                <w:sz w:val="24"/>
                <w:szCs w:val="24"/>
                <w:u w:val="single"/>
              </w:rPr>
              <w:t xml:space="preserve">Jwinfield@oxford.gov.uk </w:t>
            </w:r>
          </w:p>
        </w:tc>
      </w:tr>
    </w:tbl>
    <w:p w14:paraId="467ABC16" w14:textId="77777777" w:rsidR="00D35D23" w:rsidRDefault="00D35D23"/>
    <w:sectPr w:rsidR="00D35D23">
      <w:pgSz w:w="11910" w:h="16840"/>
      <w:pgMar w:top="1340" w:right="15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D76F"/>
    <w:multiLevelType w:val="hybridMultilevel"/>
    <w:tmpl w:val="C4022550"/>
    <w:lvl w:ilvl="0" w:tplc="F7EE0B02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6"/>
        <w:w w:val="99"/>
        <w:sz w:val="24"/>
        <w:szCs w:val="24"/>
      </w:rPr>
    </w:lvl>
    <w:lvl w:ilvl="1" w:tplc="9D5EAF08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6BFC0532">
      <w:numFmt w:val="bullet"/>
      <w:lvlText w:val="•"/>
      <w:lvlJc w:val="left"/>
      <w:pPr>
        <w:ind w:left="2545" w:hanging="360"/>
      </w:pPr>
      <w:rPr>
        <w:rFonts w:hint="default"/>
      </w:rPr>
    </w:lvl>
    <w:lvl w:ilvl="3" w:tplc="B8A64AF8"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9B22FC26">
      <w:numFmt w:val="bullet"/>
      <w:lvlText w:val="•"/>
      <w:lvlJc w:val="left"/>
      <w:pPr>
        <w:ind w:left="4271" w:hanging="360"/>
      </w:pPr>
      <w:rPr>
        <w:rFonts w:hint="default"/>
      </w:rPr>
    </w:lvl>
    <w:lvl w:ilvl="5" w:tplc="F0B6FA28">
      <w:numFmt w:val="bullet"/>
      <w:lvlText w:val="•"/>
      <w:lvlJc w:val="left"/>
      <w:pPr>
        <w:ind w:left="5134" w:hanging="360"/>
      </w:pPr>
      <w:rPr>
        <w:rFonts w:hint="default"/>
      </w:rPr>
    </w:lvl>
    <w:lvl w:ilvl="6" w:tplc="89D05736">
      <w:numFmt w:val="bullet"/>
      <w:lvlText w:val="•"/>
      <w:lvlJc w:val="left"/>
      <w:pPr>
        <w:ind w:left="5997" w:hanging="360"/>
      </w:pPr>
      <w:rPr>
        <w:rFonts w:hint="default"/>
      </w:rPr>
    </w:lvl>
    <w:lvl w:ilvl="7" w:tplc="4F08408E"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D33E8184">
      <w:numFmt w:val="bullet"/>
      <w:lvlText w:val="•"/>
      <w:lvlJc w:val="left"/>
      <w:pPr>
        <w:ind w:left="7723" w:hanging="360"/>
      </w:pPr>
      <w:rPr>
        <w:rFonts w:hint="default"/>
      </w:rPr>
    </w:lvl>
  </w:abstractNum>
  <w:abstractNum w:abstractNumId="1" w15:restartNumberingAfterBreak="0">
    <w:nsid w:val="684200D8"/>
    <w:multiLevelType w:val="hybridMultilevel"/>
    <w:tmpl w:val="BD063CC0"/>
    <w:lvl w:ilvl="0" w:tplc="25127DBA">
      <w:start w:val="1"/>
      <w:numFmt w:val="decimal"/>
      <w:lvlText w:val="%1."/>
      <w:lvlJc w:val="left"/>
      <w:pPr>
        <w:ind w:left="806" w:hanging="361"/>
        <w:jc w:val="left"/>
      </w:pPr>
      <w:rPr>
        <w:spacing w:val="-6"/>
        <w:w w:val="99"/>
        <w:sz w:val="24"/>
        <w:szCs w:val="24"/>
      </w:rPr>
    </w:lvl>
    <w:lvl w:ilvl="1" w:tplc="DCA2EF54">
      <w:start w:val="1"/>
      <w:numFmt w:val="decimal"/>
      <w:lvlText w:val="%2)"/>
      <w:lvlJc w:val="left"/>
      <w:pPr>
        <w:ind w:left="1546" w:hanging="36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 w:tplc="29448704"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4B4C12E0">
      <w:numFmt w:val="bullet"/>
      <w:lvlText w:val="•"/>
      <w:lvlJc w:val="left"/>
      <w:pPr>
        <w:ind w:left="3225" w:hanging="360"/>
      </w:pPr>
      <w:rPr>
        <w:rFonts w:hint="default"/>
      </w:rPr>
    </w:lvl>
    <w:lvl w:ilvl="4" w:tplc="5874EA0C">
      <w:numFmt w:val="bullet"/>
      <w:lvlText w:val="•"/>
      <w:lvlJc w:val="left"/>
      <w:pPr>
        <w:ind w:left="4068" w:hanging="360"/>
      </w:pPr>
      <w:rPr>
        <w:rFonts w:hint="default"/>
      </w:rPr>
    </w:lvl>
    <w:lvl w:ilvl="5" w:tplc="8354ABF0">
      <w:numFmt w:val="bullet"/>
      <w:lvlText w:val="•"/>
      <w:lvlJc w:val="left"/>
      <w:pPr>
        <w:ind w:left="4911" w:hanging="360"/>
      </w:pPr>
      <w:rPr>
        <w:rFonts w:hint="default"/>
      </w:rPr>
    </w:lvl>
    <w:lvl w:ilvl="6" w:tplc="7FF67C6A">
      <w:numFmt w:val="bullet"/>
      <w:lvlText w:val="•"/>
      <w:lvlJc w:val="left"/>
      <w:pPr>
        <w:ind w:left="5753" w:hanging="360"/>
      </w:pPr>
      <w:rPr>
        <w:rFonts w:hint="default"/>
      </w:rPr>
    </w:lvl>
    <w:lvl w:ilvl="7" w:tplc="6C0ED1BA">
      <w:numFmt w:val="bullet"/>
      <w:lvlText w:val="•"/>
      <w:lvlJc w:val="left"/>
      <w:pPr>
        <w:ind w:left="6596" w:hanging="360"/>
      </w:pPr>
      <w:rPr>
        <w:rFonts w:hint="default"/>
      </w:rPr>
    </w:lvl>
    <w:lvl w:ilvl="8" w:tplc="5CB88772">
      <w:numFmt w:val="bullet"/>
      <w:lvlText w:val="•"/>
      <w:lvlJc w:val="left"/>
      <w:pPr>
        <w:ind w:left="7439" w:hanging="360"/>
      </w:pPr>
      <w:rPr>
        <w:rFonts w:hint="default"/>
      </w:rPr>
    </w:lvl>
  </w:abstractNum>
  <w:num w:numId="1" w16cid:durableId="2092464081">
    <w:abstractNumId w:val="1"/>
  </w:num>
  <w:num w:numId="2" w16cid:durableId="1575048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164D5B2"/>
    <w:rsid w:val="00005FFD"/>
    <w:rsid w:val="00044549"/>
    <w:rsid w:val="00095AD6"/>
    <w:rsid w:val="00155FA7"/>
    <w:rsid w:val="002031CD"/>
    <w:rsid w:val="00228B38"/>
    <w:rsid w:val="003A749F"/>
    <w:rsid w:val="003D3347"/>
    <w:rsid w:val="00412FB2"/>
    <w:rsid w:val="00465C25"/>
    <w:rsid w:val="004F0D78"/>
    <w:rsid w:val="00695E1E"/>
    <w:rsid w:val="007A5DB5"/>
    <w:rsid w:val="008410E7"/>
    <w:rsid w:val="00876FDA"/>
    <w:rsid w:val="009F51B6"/>
    <w:rsid w:val="00A03D2E"/>
    <w:rsid w:val="00A70997"/>
    <w:rsid w:val="00B91E1E"/>
    <w:rsid w:val="00C3737A"/>
    <w:rsid w:val="00D02957"/>
    <w:rsid w:val="00D24AB6"/>
    <w:rsid w:val="00D35D23"/>
    <w:rsid w:val="00D55912"/>
    <w:rsid w:val="00D63B0A"/>
    <w:rsid w:val="00D75149"/>
    <w:rsid w:val="00DF2E65"/>
    <w:rsid w:val="00E17F25"/>
    <w:rsid w:val="00EC4B83"/>
    <w:rsid w:val="00F503F6"/>
    <w:rsid w:val="00F51AB2"/>
    <w:rsid w:val="00FD35D4"/>
    <w:rsid w:val="0164D5B2"/>
    <w:rsid w:val="01F8E0DF"/>
    <w:rsid w:val="03E847BD"/>
    <w:rsid w:val="03ED8FB0"/>
    <w:rsid w:val="04692929"/>
    <w:rsid w:val="0622E2D3"/>
    <w:rsid w:val="06335F10"/>
    <w:rsid w:val="064D767A"/>
    <w:rsid w:val="065D55C8"/>
    <w:rsid w:val="078E1693"/>
    <w:rsid w:val="07AF0897"/>
    <w:rsid w:val="08416D7E"/>
    <w:rsid w:val="08BBB8E0"/>
    <w:rsid w:val="096DC6CF"/>
    <w:rsid w:val="09B03D6B"/>
    <w:rsid w:val="0A47B2F6"/>
    <w:rsid w:val="0B30C6EB"/>
    <w:rsid w:val="0B44C9A4"/>
    <w:rsid w:val="0B6AD81D"/>
    <w:rsid w:val="0C99F574"/>
    <w:rsid w:val="0D0872C0"/>
    <w:rsid w:val="0D916CD9"/>
    <w:rsid w:val="0DAE3F2E"/>
    <w:rsid w:val="0DDB7F3A"/>
    <w:rsid w:val="0E504BA4"/>
    <w:rsid w:val="0EBE6FA4"/>
    <w:rsid w:val="10694C09"/>
    <w:rsid w:val="10EE4434"/>
    <w:rsid w:val="11186206"/>
    <w:rsid w:val="11FF57F2"/>
    <w:rsid w:val="12F2CD40"/>
    <w:rsid w:val="1312D125"/>
    <w:rsid w:val="13D3492A"/>
    <w:rsid w:val="144AEA5A"/>
    <w:rsid w:val="14AEA186"/>
    <w:rsid w:val="158D34D4"/>
    <w:rsid w:val="159E6069"/>
    <w:rsid w:val="15F69F64"/>
    <w:rsid w:val="16504914"/>
    <w:rsid w:val="173DF9CF"/>
    <w:rsid w:val="1772BC9E"/>
    <w:rsid w:val="17E64248"/>
    <w:rsid w:val="17FDBDCC"/>
    <w:rsid w:val="184AC0C0"/>
    <w:rsid w:val="18714536"/>
    <w:rsid w:val="18C4D596"/>
    <w:rsid w:val="18D267BC"/>
    <w:rsid w:val="1AAA5D60"/>
    <w:rsid w:val="1B921CFB"/>
    <w:rsid w:val="1B9E2053"/>
    <w:rsid w:val="1C8C4825"/>
    <w:rsid w:val="1CEAA89C"/>
    <w:rsid w:val="1D82E2B7"/>
    <w:rsid w:val="1F8D9D01"/>
    <w:rsid w:val="1F953582"/>
    <w:rsid w:val="2023A64A"/>
    <w:rsid w:val="2027DA0D"/>
    <w:rsid w:val="20B4C1FD"/>
    <w:rsid w:val="2118A067"/>
    <w:rsid w:val="224B02B8"/>
    <w:rsid w:val="25181C14"/>
    <w:rsid w:val="259C4E36"/>
    <w:rsid w:val="2692E7CE"/>
    <w:rsid w:val="275E15DD"/>
    <w:rsid w:val="27783AAB"/>
    <w:rsid w:val="27A01366"/>
    <w:rsid w:val="27A09C6C"/>
    <w:rsid w:val="27E78ECB"/>
    <w:rsid w:val="27F51D3F"/>
    <w:rsid w:val="282EB82F"/>
    <w:rsid w:val="28FFDA1E"/>
    <w:rsid w:val="2A8BF966"/>
    <w:rsid w:val="2ABE4B83"/>
    <w:rsid w:val="2AD7B428"/>
    <w:rsid w:val="2AD83D2E"/>
    <w:rsid w:val="2B9B1BC0"/>
    <w:rsid w:val="2C740D8F"/>
    <w:rsid w:val="2CE0FB3E"/>
    <w:rsid w:val="2D43FCED"/>
    <w:rsid w:val="2E3AA549"/>
    <w:rsid w:val="2E9DF9B3"/>
    <w:rsid w:val="2EDFCD4E"/>
    <w:rsid w:val="2FABAE51"/>
    <w:rsid w:val="2FEA5ABE"/>
    <w:rsid w:val="307B9DAF"/>
    <w:rsid w:val="3093337E"/>
    <w:rsid w:val="30F782E5"/>
    <w:rsid w:val="31045ACC"/>
    <w:rsid w:val="31E3D5B2"/>
    <w:rsid w:val="3233DFCD"/>
    <w:rsid w:val="32A9C53E"/>
    <w:rsid w:val="32B0350B"/>
    <w:rsid w:val="3304120A"/>
    <w:rsid w:val="3310D878"/>
    <w:rsid w:val="33716AD6"/>
    <w:rsid w:val="3447A0DE"/>
    <w:rsid w:val="35B55DC5"/>
    <w:rsid w:val="36D33F28"/>
    <w:rsid w:val="36E02C47"/>
    <w:rsid w:val="36F560CF"/>
    <w:rsid w:val="36FF684C"/>
    <w:rsid w:val="3725F6E8"/>
    <w:rsid w:val="37824942"/>
    <w:rsid w:val="378A0500"/>
    <w:rsid w:val="39776EDC"/>
    <w:rsid w:val="3A0DA6E7"/>
    <w:rsid w:val="3AAE3742"/>
    <w:rsid w:val="3B43E32F"/>
    <w:rsid w:val="3B7B2F66"/>
    <w:rsid w:val="3BD557E2"/>
    <w:rsid w:val="3BE19AE5"/>
    <w:rsid w:val="3C4B0142"/>
    <w:rsid w:val="3D184D1C"/>
    <w:rsid w:val="3DDA65E7"/>
    <w:rsid w:val="3F7A1221"/>
    <w:rsid w:val="40A8926F"/>
    <w:rsid w:val="421008BB"/>
    <w:rsid w:val="42286E94"/>
    <w:rsid w:val="42716097"/>
    <w:rsid w:val="42C2FFD1"/>
    <w:rsid w:val="4324127F"/>
    <w:rsid w:val="43C43EF5"/>
    <w:rsid w:val="44622936"/>
    <w:rsid w:val="45317D42"/>
    <w:rsid w:val="4695369A"/>
    <w:rsid w:val="47F33362"/>
    <w:rsid w:val="48819C4C"/>
    <w:rsid w:val="48F20D65"/>
    <w:rsid w:val="4975DB66"/>
    <w:rsid w:val="4B40585D"/>
    <w:rsid w:val="4BDF1F58"/>
    <w:rsid w:val="4C866378"/>
    <w:rsid w:val="4DEE0786"/>
    <w:rsid w:val="4E738317"/>
    <w:rsid w:val="5140AC3E"/>
    <w:rsid w:val="514899C4"/>
    <w:rsid w:val="5180ED4B"/>
    <w:rsid w:val="5245A198"/>
    <w:rsid w:val="529CE86E"/>
    <w:rsid w:val="54549DEA"/>
    <w:rsid w:val="5490E87D"/>
    <w:rsid w:val="54F52E45"/>
    <w:rsid w:val="5650CDB6"/>
    <w:rsid w:val="568C9848"/>
    <w:rsid w:val="56A0315F"/>
    <w:rsid w:val="570AD387"/>
    <w:rsid w:val="577EA000"/>
    <w:rsid w:val="57F6C597"/>
    <w:rsid w:val="5804FEB1"/>
    <w:rsid w:val="587AF7B9"/>
    <w:rsid w:val="59482DE2"/>
    <w:rsid w:val="5A48837C"/>
    <w:rsid w:val="5A60D741"/>
    <w:rsid w:val="5AE78E84"/>
    <w:rsid w:val="5AEF7C0A"/>
    <w:rsid w:val="5B417CF8"/>
    <w:rsid w:val="5B66B863"/>
    <w:rsid w:val="5BA39F3A"/>
    <w:rsid w:val="5C4EBF75"/>
    <w:rsid w:val="5D987803"/>
    <w:rsid w:val="5DB762E5"/>
    <w:rsid w:val="5E2D8058"/>
    <w:rsid w:val="5FC950B9"/>
    <w:rsid w:val="60032E3A"/>
    <w:rsid w:val="606B35A6"/>
    <w:rsid w:val="60B7B720"/>
    <w:rsid w:val="6165211A"/>
    <w:rsid w:val="62070607"/>
    <w:rsid w:val="6294239A"/>
    <w:rsid w:val="646D01C9"/>
    <w:rsid w:val="653EA6C9"/>
    <w:rsid w:val="65585857"/>
    <w:rsid w:val="65BEE412"/>
    <w:rsid w:val="667336E2"/>
    <w:rsid w:val="6748AD9A"/>
    <w:rsid w:val="67A3A676"/>
    <w:rsid w:val="67CDFF12"/>
    <w:rsid w:val="67E69A8F"/>
    <w:rsid w:val="6ACFF616"/>
    <w:rsid w:val="6BCC2909"/>
    <w:rsid w:val="6D068E5F"/>
    <w:rsid w:val="6D62E26E"/>
    <w:rsid w:val="6E0F239F"/>
    <w:rsid w:val="6E3D4096"/>
    <w:rsid w:val="6EC7BAEF"/>
    <w:rsid w:val="6FA93FFD"/>
    <w:rsid w:val="702506C4"/>
    <w:rsid w:val="70B3AB8D"/>
    <w:rsid w:val="71A80E32"/>
    <w:rsid w:val="7207A2B8"/>
    <w:rsid w:val="724BF5B4"/>
    <w:rsid w:val="72EC860F"/>
    <w:rsid w:val="72EE46A3"/>
    <w:rsid w:val="7343DE93"/>
    <w:rsid w:val="7367482A"/>
    <w:rsid w:val="738CC577"/>
    <w:rsid w:val="73D223F2"/>
    <w:rsid w:val="748A1704"/>
    <w:rsid w:val="74DE8588"/>
    <w:rsid w:val="7625E765"/>
    <w:rsid w:val="7709C4B4"/>
    <w:rsid w:val="77C1B7C6"/>
    <w:rsid w:val="77EF1791"/>
    <w:rsid w:val="78F38041"/>
    <w:rsid w:val="79702C1C"/>
    <w:rsid w:val="7A11F651"/>
    <w:rsid w:val="7A6E968B"/>
    <w:rsid w:val="7A9ACEE0"/>
    <w:rsid w:val="7AA76A1F"/>
    <w:rsid w:val="7AF5942D"/>
    <w:rsid w:val="7B466340"/>
    <w:rsid w:val="7BF65E34"/>
    <w:rsid w:val="7C31727D"/>
    <w:rsid w:val="7CDC85F2"/>
    <w:rsid w:val="7D3E7A7C"/>
    <w:rsid w:val="7D4EA1A1"/>
    <w:rsid w:val="7E2D34EF"/>
    <w:rsid w:val="7E6CC92B"/>
    <w:rsid w:val="7ED3C6E4"/>
    <w:rsid w:val="7F0C5C8C"/>
    <w:rsid w:val="7F469A73"/>
    <w:rsid w:val="7F5D75D9"/>
    <w:rsid w:val="7FC5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698D6"/>
  <w15:docId w15:val="{57C2018F-B4CD-46DC-9AE2-A1AB879F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9"/>
      <w:ind w:left="10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06" w:right="112" w:hanging="361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95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A03D2E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2DEE98D0C8F449981FFDFD3F60859" ma:contentTypeVersion="18" ma:contentTypeDescription="Create a new document." ma:contentTypeScope="" ma:versionID="2b386437105549f1685994bd1bef628b">
  <xsd:schema xmlns:xsd="http://www.w3.org/2001/XMLSchema" xmlns:xs="http://www.w3.org/2001/XMLSchema" xmlns:p="http://schemas.microsoft.com/office/2006/metadata/properties" xmlns:ns2="30fb885f-9b87-4c78-9e64-6321052f9053" xmlns:ns3="54e82321-58e4-472f-bc3e-0e6c64b6c1fa" targetNamespace="http://schemas.microsoft.com/office/2006/metadata/properties" ma:root="true" ma:fieldsID="7afd06af0c73cbe46e52596bfdc3c257" ns2:_="" ns3:_="">
    <xsd:import namespace="30fb885f-9b87-4c78-9e64-6321052f9053"/>
    <xsd:import namespace="54e82321-58e4-472f-bc3e-0e6c64b6c1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b885f-9b87-4c78-9e64-6321052f90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2e1e60b-3c39-4480-859b-b8059e309a31}" ma:internalName="TaxCatchAll" ma:showField="CatchAllData" ma:web="30fb885f-9b87-4c78-9e64-6321052f90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2321-58e4-472f-bc3e-0e6c64b6c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dd4ae1b-e163-46e9-a8ef-d6e330c9a7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fb885f-9b87-4c78-9e64-6321052f9053" xsi:nil="true"/>
    <lcf76f155ced4ddcb4097134ff3c332f xmlns="54e82321-58e4-472f-bc3e-0e6c64b6c1fa">
      <Terms xmlns="http://schemas.microsoft.com/office/infopath/2007/PartnerControls"/>
    </lcf76f155ced4ddcb4097134ff3c332f>
    <SharedWithUsers xmlns="30fb885f-9b87-4c78-9e64-6321052f9053">
      <UserInfo>
        <DisplayName>GRAHAM James</DisplayName>
        <AccountId>29</AccountId>
        <AccountType/>
      </UserInfo>
      <UserInfo>
        <DisplayName>WINFIELD Jane</DisplayName>
        <AccountId>207</AccountId>
        <AccountType/>
      </UserInfo>
      <UserInfo>
        <DisplayName>MACE Emma</DisplayName>
        <AccountId>408</AccountId>
        <AccountType/>
      </UserInfo>
      <UserInfo>
        <DisplayName>BROWN Lucy</DisplayName>
        <AccountId>209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08A43D4-8A79-46ED-9F5E-992DF9330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b885f-9b87-4c78-9e64-6321052f9053"/>
    <ds:schemaRef ds:uri="54e82321-58e4-472f-bc3e-0e6c64b6c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D8B705-1BFE-41E8-806C-137DC1F68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AC3EA-4249-48DE-80D4-0D15972E1AD2}">
  <ds:schemaRefs>
    <ds:schemaRef ds:uri="http://purl.org/dc/elements/1.1/"/>
    <ds:schemaRef ds:uri="30fb885f-9b87-4c78-9e64-6321052f9053"/>
    <ds:schemaRef ds:uri="54e82321-58e4-472f-bc3e-0e6c64b6c1fa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cphythian</dc:creator>
  <cp:lastModifiedBy>BROWN Lucy</cp:lastModifiedBy>
  <cp:revision>2</cp:revision>
  <dcterms:created xsi:type="dcterms:W3CDTF">2024-03-19T10:16:00Z</dcterms:created>
  <dcterms:modified xsi:type="dcterms:W3CDTF">2024-03-19T10:16:00Z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2024-02-21T00:00:00Z</vt:filetime>
  </property>
  <property fmtid="{D5CDD505-2E9C-101B-9397-08002B2CF9AE}" pid="5" name="ContentTypeId">
    <vt:lpwstr>0x0101005842DEE98D0C8F449981FFDFD3F60859</vt:lpwstr>
  </property>
  <property fmtid="{D5CDD505-2E9C-101B-9397-08002B2CF9AE}" pid="6" name="MediaServiceImageTags">
    <vt:lpwstr/>
  </property>
</Properties>
</file>